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7D9" w:rsidRPr="00FF37D9" w:rsidRDefault="00FF37D9" w:rsidP="00FF37D9">
      <w:pPr>
        <w:shd w:val="clear" w:color="auto" w:fill="FFFFFF"/>
        <w:spacing w:after="0" w:line="312" w:lineRule="atLeast"/>
        <w:outlineLvl w:val="2"/>
        <w:rPr>
          <w:rFonts w:ascii="Arial" w:eastAsia="Times New Roman" w:hAnsi="Arial" w:cs="Arial"/>
          <w:b/>
          <w:bCs/>
          <w:color w:val="000000"/>
          <w:sz w:val="32"/>
          <w:szCs w:val="32"/>
          <w:lang w:val="en" w:eastAsia="es-CR"/>
        </w:rPr>
      </w:pPr>
      <w:r w:rsidRPr="00FF37D9">
        <w:rPr>
          <w:rFonts w:ascii="Arial" w:eastAsia="Times New Roman" w:hAnsi="Arial" w:cs="Arial"/>
          <w:b/>
          <w:bCs/>
          <w:color w:val="000000"/>
          <w:sz w:val="32"/>
          <w:szCs w:val="32"/>
          <w:lang w:val="en" w:eastAsia="es-CR"/>
        </w:rPr>
        <w:fldChar w:fldCharType="begin"/>
      </w:r>
      <w:r w:rsidRPr="00FF37D9">
        <w:rPr>
          <w:rFonts w:ascii="Arial" w:eastAsia="Times New Roman" w:hAnsi="Arial" w:cs="Arial"/>
          <w:b/>
          <w:bCs/>
          <w:color w:val="000000"/>
          <w:sz w:val="32"/>
          <w:szCs w:val="32"/>
          <w:lang w:val="en" w:eastAsia="es-CR"/>
        </w:rPr>
        <w:instrText xml:space="preserve"> HYPERLINK "https://norrag.wordpress.com/2015/09/29/time-to-think-outside-the-box-buy-downs-as-an-education-financing-option/" </w:instrText>
      </w:r>
      <w:r w:rsidRPr="00FF37D9">
        <w:rPr>
          <w:rFonts w:ascii="Arial" w:eastAsia="Times New Roman" w:hAnsi="Arial" w:cs="Arial"/>
          <w:b/>
          <w:bCs/>
          <w:color w:val="000000"/>
          <w:sz w:val="32"/>
          <w:szCs w:val="32"/>
          <w:lang w:val="en" w:eastAsia="es-CR"/>
        </w:rPr>
        <w:fldChar w:fldCharType="separate"/>
      </w:r>
      <w:r w:rsidRPr="00FF37D9">
        <w:rPr>
          <w:rFonts w:ascii="Arial" w:eastAsia="Times New Roman" w:hAnsi="Arial" w:cs="Arial"/>
          <w:b/>
          <w:bCs/>
          <w:color w:val="000000"/>
          <w:sz w:val="32"/>
          <w:szCs w:val="32"/>
          <w:lang w:val="en" w:eastAsia="es-CR"/>
        </w:rPr>
        <w:t xml:space="preserve">Time to Think Outside the </w:t>
      </w:r>
      <w:proofErr w:type="gramStart"/>
      <w:r w:rsidRPr="00FF37D9">
        <w:rPr>
          <w:rFonts w:ascii="Arial" w:eastAsia="Times New Roman" w:hAnsi="Arial" w:cs="Arial"/>
          <w:b/>
          <w:bCs/>
          <w:color w:val="000000"/>
          <w:sz w:val="32"/>
          <w:szCs w:val="32"/>
          <w:lang w:val="en" w:eastAsia="es-CR"/>
        </w:rPr>
        <w:t>Box:</w:t>
      </w:r>
      <w:proofErr w:type="gramEnd"/>
      <w:r w:rsidRPr="00FF37D9">
        <w:rPr>
          <w:rFonts w:ascii="Arial" w:eastAsia="Times New Roman" w:hAnsi="Arial" w:cs="Arial"/>
          <w:b/>
          <w:bCs/>
          <w:color w:val="000000"/>
          <w:sz w:val="32"/>
          <w:szCs w:val="32"/>
          <w:lang w:val="en" w:eastAsia="es-CR"/>
        </w:rPr>
        <w:t xml:space="preserve"> Buy-Downs as an Education Financing Option</w:t>
      </w:r>
      <w:r w:rsidRPr="00FF37D9">
        <w:rPr>
          <w:rFonts w:ascii="Arial" w:eastAsia="Times New Roman" w:hAnsi="Arial" w:cs="Arial"/>
          <w:b/>
          <w:bCs/>
          <w:color w:val="000000"/>
          <w:sz w:val="32"/>
          <w:szCs w:val="32"/>
          <w:lang w:val="en" w:eastAsia="es-CR"/>
        </w:rPr>
        <w:fldChar w:fldCharType="end"/>
      </w:r>
    </w:p>
    <w:p w:rsidR="00FF37D9" w:rsidRDefault="00FF37D9" w:rsidP="00FF37D9">
      <w:pPr>
        <w:shd w:val="clear" w:color="auto" w:fill="FFFFFF"/>
        <w:spacing w:after="0" w:line="360" w:lineRule="atLeast"/>
        <w:rPr>
          <w:rFonts w:ascii="Arial" w:eastAsia="Times New Roman" w:hAnsi="Arial" w:cs="Arial"/>
          <w:color w:val="777777"/>
          <w:sz w:val="18"/>
          <w:szCs w:val="18"/>
          <w:lang w:val="en" w:eastAsia="es-CR"/>
        </w:rPr>
      </w:pPr>
      <w:r w:rsidRPr="00FF37D9">
        <w:rPr>
          <w:rFonts w:ascii="Arial" w:eastAsia="Times New Roman" w:hAnsi="Arial" w:cs="Arial"/>
          <w:color w:val="777777"/>
          <w:sz w:val="18"/>
          <w:szCs w:val="18"/>
          <w:lang w:val="en" w:eastAsia="es-CR"/>
        </w:rPr>
        <w:t xml:space="preserve">Posted on </w:t>
      </w:r>
      <w:hyperlink r:id="rId4" w:tooltip="11:00 am" w:history="1">
        <w:r w:rsidRPr="00FF37D9">
          <w:rPr>
            <w:rFonts w:ascii="Arial" w:eastAsia="Times New Roman" w:hAnsi="Arial" w:cs="Arial"/>
            <w:color w:val="777777"/>
            <w:sz w:val="18"/>
            <w:szCs w:val="18"/>
            <w:u w:val="single"/>
            <w:lang w:val="en" w:eastAsia="es-CR"/>
          </w:rPr>
          <w:t>September 29, 2015</w:t>
        </w:r>
      </w:hyperlink>
      <w:r w:rsidRPr="00FF37D9">
        <w:rPr>
          <w:rFonts w:ascii="Arial" w:eastAsia="Times New Roman" w:hAnsi="Arial" w:cs="Arial"/>
          <w:color w:val="777777"/>
          <w:sz w:val="18"/>
          <w:szCs w:val="18"/>
          <w:lang w:val="en" w:eastAsia="es-CR"/>
        </w:rPr>
        <w:t xml:space="preserve"> by </w:t>
      </w:r>
      <w:hyperlink r:id="rId5" w:tooltip="View all posts by norrag" w:history="1">
        <w:proofErr w:type="spellStart"/>
        <w:r w:rsidRPr="00FF37D9">
          <w:rPr>
            <w:rFonts w:ascii="Arial" w:eastAsia="Times New Roman" w:hAnsi="Arial" w:cs="Arial"/>
            <w:color w:val="777777"/>
            <w:sz w:val="18"/>
            <w:szCs w:val="18"/>
            <w:u w:val="single"/>
            <w:lang w:val="en" w:eastAsia="es-CR"/>
          </w:rPr>
          <w:t>norrag</w:t>
        </w:r>
        <w:proofErr w:type="spellEnd"/>
      </w:hyperlink>
      <w:r w:rsidRPr="00FF37D9">
        <w:rPr>
          <w:rFonts w:ascii="Arial" w:eastAsia="Times New Roman" w:hAnsi="Arial" w:cs="Arial"/>
          <w:color w:val="777777"/>
          <w:sz w:val="18"/>
          <w:szCs w:val="18"/>
          <w:lang w:val="en" w:eastAsia="es-CR"/>
        </w:rPr>
        <w:t xml:space="preserve"> </w:t>
      </w:r>
    </w:p>
    <w:p w:rsidR="008F75E2" w:rsidRPr="00FF37D9" w:rsidRDefault="008F75E2" w:rsidP="00FF37D9">
      <w:pPr>
        <w:shd w:val="clear" w:color="auto" w:fill="FFFFFF"/>
        <w:spacing w:after="0" w:line="360" w:lineRule="atLeast"/>
        <w:rPr>
          <w:rFonts w:ascii="Arial" w:eastAsia="Times New Roman" w:hAnsi="Arial" w:cs="Arial"/>
          <w:color w:val="777777"/>
          <w:sz w:val="18"/>
          <w:szCs w:val="18"/>
          <w:lang w:val="en" w:eastAsia="es-CR"/>
        </w:rPr>
      </w:pPr>
      <w:hyperlink r:id="rId6" w:history="1">
        <w:r w:rsidRPr="00E31900">
          <w:rPr>
            <w:rStyle w:val="Hipervnculo"/>
            <w:rFonts w:ascii="Arial" w:eastAsia="Times New Roman" w:hAnsi="Arial" w:cs="Arial"/>
            <w:sz w:val="18"/>
            <w:szCs w:val="18"/>
            <w:lang w:val="en" w:eastAsia="es-CR"/>
          </w:rPr>
          <w:t>https://norrag.wordpress.com/2015/09/29/time-to-think-outside-the-box-buy-downs-as-an-education-financing-option/</w:t>
        </w:r>
      </w:hyperlink>
      <w:r>
        <w:rPr>
          <w:rFonts w:ascii="Arial" w:eastAsia="Times New Roman" w:hAnsi="Arial" w:cs="Arial"/>
          <w:color w:val="777777"/>
          <w:sz w:val="18"/>
          <w:szCs w:val="18"/>
          <w:lang w:val="en" w:eastAsia="es-CR"/>
        </w:rPr>
        <w:t xml:space="preserve"> </w:t>
      </w:r>
      <w:bookmarkStart w:id="0" w:name="_GoBack"/>
      <w:bookmarkEnd w:id="0"/>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By Arjun </w:t>
      </w:r>
      <w:proofErr w:type="spellStart"/>
      <w:r w:rsidRPr="00FF37D9">
        <w:rPr>
          <w:rFonts w:ascii="Georgia" w:eastAsia="Times New Roman" w:hAnsi="Georgia" w:cs="Times New Roman"/>
          <w:color w:val="333333"/>
          <w:sz w:val="24"/>
          <w:szCs w:val="24"/>
          <w:lang w:val="en" w:eastAsia="es-CR"/>
        </w:rPr>
        <w:t>Upadhyay</w:t>
      </w:r>
      <w:proofErr w:type="spellEnd"/>
      <w:r w:rsidRPr="00FF37D9">
        <w:rPr>
          <w:rFonts w:ascii="Georgia" w:eastAsia="Times New Roman" w:hAnsi="Georgia" w:cs="Times New Roman"/>
          <w:color w:val="333333"/>
          <w:sz w:val="24"/>
          <w:szCs w:val="24"/>
          <w:lang w:val="en" w:eastAsia="es-CR"/>
        </w:rPr>
        <w:t xml:space="preserve"> and Nicholas Burnett, Results for Development Institute.</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noProof/>
          <w:color w:val="333333"/>
          <w:sz w:val="24"/>
          <w:szCs w:val="24"/>
          <w:lang w:eastAsia="es-CR"/>
        </w:rPr>
        <w:drawing>
          <wp:inline distT="0" distB="0" distL="0" distR="0">
            <wp:extent cx="3990975" cy="2971800"/>
            <wp:effectExtent l="0" t="0" r="9525" b="0"/>
            <wp:docPr id="1" name="Imagen 1"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0975" cy="2971800"/>
                    </a:xfrm>
                    <a:prstGeom prst="rect">
                      <a:avLst/>
                    </a:prstGeom>
                    <a:noFill/>
                    <a:ln>
                      <a:noFill/>
                    </a:ln>
                  </pic:spPr>
                </pic:pic>
              </a:graphicData>
            </a:graphic>
          </wp:inline>
        </w:drawing>
      </w:r>
      <w:r w:rsidRPr="00FF37D9">
        <w:rPr>
          <w:rFonts w:ascii="Georgia" w:eastAsia="Times New Roman" w:hAnsi="Georgia" w:cs="Times New Roman"/>
          <w:color w:val="333333"/>
          <w:sz w:val="24"/>
          <w:szCs w:val="24"/>
          <w:lang w:val="en" w:eastAsia="es-CR"/>
        </w:rPr>
        <w:t xml:space="preserve">Late last week, world leaders met to adopt ambitious new sustainable development goals (SDGs) that will shape international development for the next 15 years. There is a great deal of optimism surrounding the new agenda. Yet it is almost certain that the SDGs will fail if equally ambitious and innovative financing strategies such as debt and loan buy-downs </w:t>
      </w:r>
      <w:proofErr w:type="gramStart"/>
      <w:r w:rsidRPr="00FF37D9">
        <w:rPr>
          <w:rFonts w:ascii="Georgia" w:eastAsia="Times New Roman" w:hAnsi="Georgia" w:cs="Times New Roman"/>
          <w:color w:val="333333"/>
          <w:sz w:val="24"/>
          <w:szCs w:val="24"/>
          <w:lang w:val="en" w:eastAsia="es-CR"/>
        </w:rPr>
        <w:t>are not adopted</w:t>
      </w:r>
      <w:proofErr w:type="gramEnd"/>
      <w:r w:rsidRPr="00FF37D9">
        <w:rPr>
          <w:rFonts w:ascii="Georgia" w:eastAsia="Times New Roman" w:hAnsi="Georgia" w:cs="Times New Roman"/>
          <w:color w:val="333333"/>
          <w:sz w:val="24"/>
          <w:szCs w:val="24"/>
          <w:lang w:val="en" w:eastAsia="es-CR"/>
        </w:rPr>
        <w:t>. This is especially true for education – a sector that has been slow to capitalize on the growth of alternative sources of finance.</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SDG 4 is to “ensure quality education for all.” The cost of achieving universal basic and secondary education by 2030 </w:t>
      </w:r>
      <w:hyperlink r:id="rId8" w:history="1">
        <w:r w:rsidRPr="00FF37D9">
          <w:rPr>
            <w:rFonts w:ascii="Georgia" w:eastAsia="Times New Roman" w:hAnsi="Georgia" w:cs="Times New Roman"/>
            <w:color w:val="0066CC"/>
            <w:sz w:val="24"/>
            <w:szCs w:val="24"/>
            <w:u w:val="single"/>
            <w:lang w:val="en" w:eastAsia="es-CR"/>
          </w:rPr>
          <w:t>is estimated at US$340 billion per year</w:t>
        </w:r>
      </w:hyperlink>
      <w:r w:rsidRPr="00FF37D9">
        <w:rPr>
          <w:rFonts w:ascii="Georgia" w:eastAsia="Times New Roman" w:hAnsi="Georgia" w:cs="Times New Roman"/>
          <w:color w:val="333333"/>
          <w:sz w:val="24"/>
          <w:szCs w:val="24"/>
          <w:lang w:val="en" w:eastAsia="es-CR"/>
        </w:rPr>
        <w:t xml:space="preserve"> for low and lower </w:t>
      </w:r>
      <w:proofErr w:type="gramStart"/>
      <w:r w:rsidRPr="00FF37D9">
        <w:rPr>
          <w:rFonts w:ascii="Georgia" w:eastAsia="Times New Roman" w:hAnsi="Georgia" w:cs="Times New Roman"/>
          <w:color w:val="333333"/>
          <w:sz w:val="24"/>
          <w:szCs w:val="24"/>
          <w:lang w:val="en" w:eastAsia="es-CR"/>
        </w:rPr>
        <w:t>middle income</w:t>
      </w:r>
      <w:proofErr w:type="gramEnd"/>
      <w:r w:rsidRPr="00FF37D9">
        <w:rPr>
          <w:rFonts w:ascii="Georgia" w:eastAsia="Times New Roman" w:hAnsi="Georgia" w:cs="Times New Roman"/>
          <w:color w:val="333333"/>
          <w:sz w:val="24"/>
          <w:szCs w:val="24"/>
          <w:lang w:val="en" w:eastAsia="es-CR"/>
        </w:rPr>
        <w:t xml:space="preserve"> countries. This represents an annual financing gap of </w:t>
      </w:r>
      <w:hyperlink r:id="rId9" w:history="1">
        <w:r w:rsidRPr="00FF37D9">
          <w:rPr>
            <w:rFonts w:ascii="Georgia" w:eastAsia="Times New Roman" w:hAnsi="Georgia" w:cs="Times New Roman"/>
            <w:color w:val="0066CC"/>
            <w:sz w:val="24"/>
            <w:szCs w:val="24"/>
            <w:u w:val="single"/>
            <w:lang w:val="en" w:eastAsia="es-CR"/>
          </w:rPr>
          <w:t>US$40 billion per year</w:t>
        </w:r>
      </w:hyperlink>
      <w:r w:rsidRPr="00FF37D9">
        <w:rPr>
          <w:rFonts w:ascii="Georgia" w:eastAsia="Times New Roman" w:hAnsi="Georgia" w:cs="Times New Roman"/>
          <w:color w:val="333333"/>
          <w:sz w:val="24"/>
          <w:szCs w:val="24"/>
          <w:lang w:val="en" w:eastAsia="es-CR"/>
        </w:rPr>
        <w:t xml:space="preserve"> if current spending levels continue. Given this gap, there is an urgent need to find bold new financing solutions. The adoption of the SDGs presents a unique opportunity for education to break from the status quo and embed innovative finance, such as debt and loan buy-downs, as an integral part of the next financing architecture.</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lastRenderedPageBreak/>
        <w:t>Although the mechanics of a buy-down can be complex, the idea itself is not. Buy-downs are an arrangement where a third party agrees to pay the interest or principal of a loan, thereby releasing the borrowing country from all or some of its future repayment obligations.</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There are two types of buy-downs, debt and loan.  Debt buy-downs are current debt that </w:t>
      </w:r>
      <w:proofErr w:type="gramStart"/>
      <w:r w:rsidRPr="00FF37D9">
        <w:rPr>
          <w:rFonts w:ascii="Georgia" w:eastAsia="Times New Roman" w:hAnsi="Georgia" w:cs="Times New Roman"/>
          <w:color w:val="333333"/>
          <w:sz w:val="24"/>
          <w:szCs w:val="24"/>
          <w:lang w:val="en" w:eastAsia="es-CR"/>
        </w:rPr>
        <w:t>is bought</w:t>
      </w:r>
      <w:proofErr w:type="gramEnd"/>
      <w:r w:rsidRPr="00FF37D9">
        <w:rPr>
          <w:rFonts w:ascii="Georgia" w:eastAsia="Times New Roman" w:hAnsi="Georgia" w:cs="Times New Roman"/>
          <w:color w:val="333333"/>
          <w:sz w:val="24"/>
          <w:szCs w:val="24"/>
          <w:lang w:val="en" w:eastAsia="es-CR"/>
        </w:rPr>
        <w:t xml:space="preserve"> down by a third party. In a loan buy-down, future loans </w:t>
      </w:r>
      <w:proofErr w:type="gramStart"/>
      <w:r w:rsidRPr="00FF37D9">
        <w:rPr>
          <w:rFonts w:ascii="Georgia" w:eastAsia="Times New Roman" w:hAnsi="Georgia" w:cs="Times New Roman"/>
          <w:color w:val="333333"/>
          <w:sz w:val="24"/>
          <w:szCs w:val="24"/>
          <w:lang w:val="en" w:eastAsia="es-CR"/>
        </w:rPr>
        <w:t>are either softened ahead of time or triggered when the borrowing country achieves pre-defined targets</w:t>
      </w:r>
      <w:proofErr w:type="gramEnd"/>
      <w:r w:rsidRPr="00FF37D9">
        <w:rPr>
          <w:rFonts w:ascii="Georgia" w:eastAsia="Times New Roman" w:hAnsi="Georgia" w:cs="Times New Roman"/>
          <w:color w:val="333333"/>
          <w:sz w:val="24"/>
          <w:szCs w:val="24"/>
          <w:lang w:val="en" w:eastAsia="es-CR"/>
        </w:rPr>
        <w:t xml:space="preserve">. For example, the </w:t>
      </w:r>
      <w:hyperlink r:id="rId10" w:history="1">
        <w:r w:rsidRPr="00FF37D9">
          <w:rPr>
            <w:rFonts w:ascii="Georgia" w:eastAsia="Times New Roman" w:hAnsi="Georgia" w:cs="Times New Roman"/>
            <w:color w:val="0066CC"/>
            <w:sz w:val="24"/>
            <w:szCs w:val="24"/>
            <w:u w:val="single"/>
            <w:lang w:val="en" w:eastAsia="es-CR"/>
          </w:rPr>
          <w:t>Global Partnership for Education</w:t>
        </w:r>
      </w:hyperlink>
      <w:r w:rsidRPr="00FF37D9">
        <w:rPr>
          <w:rFonts w:ascii="Georgia" w:eastAsia="Times New Roman" w:hAnsi="Georgia" w:cs="Times New Roman"/>
          <w:color w:val="333333"/>
          <w:sz w:val="24"/>
          <w:szCs w:val="24"/>
          <w:lang w:val="en" w:eastAsia="es-CR"/>
        </w:rPr>
        <w:t xml:space="preserve"> could agree to buy-down a future </w:t>
      </w:r>
      <w:hyperlink r:id="rId11" w:history="1">
        <w:r w:rsidRPr="00FF37D9">
          <w:rPr>
            <w:rFonts w:ascii="Georgia" w:eastAsia="Times New Roman" w:hAnsi="Georgia" w:cs="Times New Roman"/>
            <w:color w:val="0066CC"/>
            <w:sz w:val="24"/>
            <w:szCs w:val="24"/>
            <w:u w:val="single"/>
            <w:lang w:val="en" w:eastAsia="es-CR"/>
          </w:rPr>
          <w:t>IBRD</w:t>
        </w:r>
      </w:hyperlink>
      <w:r w:rsidRPr="00FF37D9">
        <w:rPr>
          <w:rFonts w:ascii="Georgia" w:eastAsia="Times New Roman" w:hAnsi="Georgia" w:cs="Times New Roman"/>
          <w:color w:val="333333"/>
          <w:sz w:val="24"/>
          <w:szCs w:val="24"/>
          <w:lang w:val="en" w:eastAsia="es-CR"/>
        </w:rPr>
        <w:t xml:space="preserve"> loan to Bangladesh if they meet the target of 100% lower-secondary enrollment.</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These are attractive options for several reasons.</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One, buy-downs have the potential to “crowd in” resources for education. The buy-down option based on triggers could greatly incentivize countries to meet key development targets, demonstrating effectiveness and thereby encouraging more lending.</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Second, buy-downs could free up resources that would have otherwise gone to debt servicing. As a rough example, before the Heavily Indebted Poor Country (HIPC) Initiative, eligible countries were on average spending more on debt service than on health and education combined. Since the HIPC Initiative, spending on health and education is about five times the amount of debt-service payments.</w:t>
      </w:r>
      <w:bookmarkStart w:id="1" w:name="_ftnref1"/>
      <w:r w:rsidRPr="00FF37D9">
        <w:rPr>
          <w:rFonts w:ascii="Georgia" w:eastAsia="Times New Roman" w:hAnsi="Georgia" w:cs="Times New Roman"/>
          <w:color w:val="333333"/>
          <w:sz w:val="24"/>
          <w:szCs w:val="24"/>
          <w:lang w:val="en" w:eastAsia="es-CR"/>
        </w:rPr>
        <w:fldChar w:fldCharType="begin"/>
      </w:r>
      <w:r w:rsidRPr="00FF37D9">
        <w:rPr>
          <w:rFonts w:ascii="Georgia" w:eastAsia="Times New Roman" w:hAnsi="Georgia" w:cs="Times New Roman"/>
          <w:color w:val="333333"/>
          <w:sz w:val="24"/>
          <w:szCs w:val="24"/>
          <w:lang w:val="en" w:eastAsia="es-CR"/>
        </w:rPr>
        <w:instrText xml:space="preserve"> HYPERLINK "https://norrag.wordpress.com/2015/09/29/time-to-think-outside-the-box-buy-downs-as-an-education-financing-option/" \l "_ftn1" </w:instrText>
      </w:r>
      <w:r w:rsidRPr="00FF37D9">
        <w:rPr>
          <w:rFonts w:ascii="Georgia" w:eastAsia="Times New Roman" w:hAnsi="Georgia" w:cs="Times New Roman"/>
          <w:color w:val="333333"/>
          <w:sz w:val="24"/>
          <w:szCs w:val="24"/>
          <w:lang w:val="en" w:eastAsia="es-CR"/>
        </w:rPr>
        <w:fldChar w:fldCharType="separate"/>
      </w:r>
      <w:r w:rsidRPr="00FF37D9">
        <w:rPr>
          <w:rFonts w:ascii="Georgia" w:eastAsia="Times New Roman" w:hAnsi="Georgia" w:cs="Times New Roman"/>
          <w:color w:val="0066CC"/>
          <w:sz w:val="24"/>
          <w:szCs w:val="24"/>
          <w:u w:val="single"/>
          <w:lang w:val="en" w:eastAsia="es-CR"/>
        </w:rPr>
        <w:t>[1]</w:t>
      </w:r>
      <w:r w:rsidRPr="00FF37D9">
        <w:rPr>
          <w:rFonts w:ascii="Georgia" w:eastAsia="Times New Roman" w:hAnsi="Georgia" w:cs="Times New Roman"/>
          <w:color w:val="333333"/>
          <w:sz w:val="24"/>
          <w:szCs w:val="24"/>
          <w:lang w:val="en" w:eastAsia="es-CR"/>
        </w:rPr>
        <w:fldChar w:fldCharType="end"/>
      </w:r>
      <w:bookmarkEnd w:id="1"/>
      <w:r w:rsidRPr="00FF37D9">
        <w:rPr>
          <w:rFonts w:ascii="Georgia" w:eastAsia="Times New Roman" w:hAnsi="Georgia" w:cs="Times New Roman"/>
          <w:color w:val="333333"/>
          <w:sz w:val="24"/>
          <w:szCs w:val="24"/>
          <w:lang w:val="en" w:eastAsia="es-CR"/>
        </w:rPr>
        <w:t xml:space="preserve"> The use of buy-downs could potentially have a similar effect.</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Third, loan buy-downs could open capital to countries otherwise deemed ineligible or credit unworthy. These would include low-income countries unable to take on more debt but in serious need of external support for basic education, such as Afghanistan, Burundi, Chad, Democratic Republic of Congo and Tajikistan. Any buy-downs for these countries would essentially be similar to a grant.</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Loan-buy downs could also soften the loan terms for countries in both sides of the IDA/IBRD threshold. These countries also have some of the largest out-of-school populations in the world. They include countries such as Angola, Bangladesh, India, Nigeria, Pakistan and Sri Lanka. The immediate potential seems greatest </w:t>
      </w:r>
      <w:r w:rsidRPr="00FF37D9">
        <w:rPr>
          <w:rFonts w:ascii="Georgia" w:eastAsia="Times New Roman" w:hAnsi="Georgia" w:cs="Times New Roman"/>
          <w:color w:val="333333"/>
          <w:sz w:val="24"/>
          <w:szCs w:val="24"/>
          <w:lang w:val="en" w:eastAsia="es-CR"/>
        </w:rPr>
        <w:lastRenderedPageBreak/>
        <w:t>with regard to lending by the World Bank Group (both non-concessional IBRD and concessional IDA) and the Islamic Development Bank (mainly non-concessional).</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Fourth, the potential of buy-downs are too immense to ignore. The World Bank estimates that loan buy-downs could “leverage funding so that $1 translates into $3 in development assistance.” In other words, buying down the interest rate and parts of the principal with $10 million today would release the borrower from $30 million in future repayments.</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Why is this important? Research shows that traditional sources of finance, although extremely important, will not be able </w:t>
      </w:r>
      <w:proofErr w:type="gramStart"/>
      <w:r w:rsidRPr="00FF37D9">
        <w:rPr>
          <w:rFonts w:ascii="Georgia" w:eastAsia="Times New Roman" w:hAnsi="Georgia" w:cs="Times New Roman"/>
          <w:color w:val="333333"/>
          <w:sz w:val="24"/>
          <w:szCs w:val="24"/>
          <w:lang w:val="en" w:eastAsia="es-CR"/>
        </w:rPr>
        <w:t>to sufficiently mobilize</w:t>
      </w:r>
      <w:proofErr w:type="gramEnd"/>
      <w:r w:rsidRPr="00FF37D9">
        <w:rPr>
          <w:rFonts w:ascii="Georgia" w:eastAsia="Times New Roman" w:hAnsi="Georgia" w:cs="Times New Roman"/>
          <w:color w:val="333333"/>
          <w:sz w:val="24"/>
          <w:szCs w:val="24"/>
          <w:lang w:val="en" w:eastAsia="es-CR"/>
        </w:rPr>
        <w:t xml:space="preserve"> the needed resources to achieve the education SDGs. According to the Education for All Global Monitoring Report, government spending on basic education in low and lower </w:t>
      </w:r>
      <w:proofErr w:type="gramStart"/>
      <w:r w:rsidRPr="00FF37D9">
        <w:rPr>
          <w:rFonts w:ascii="Georgia" w:eastAsia="Times New Roman" w:hAnsi="Georgia" w:cs="Times New Roman"/>
          <w:color w:val="333333"/>
          <w:sz w:val="24"/>
          <w:szCs w:val="24"/>
          <w:lang w:val="en" w:eastAsia="es-CR"/>
        </w:rPr>
        <w:t>middle income</w:t>
      </w:r>
      <w:proofErr w:type="gramEnd"/>
      <w:r w:rsidRPr="00FF37D9">
        <w:rPr>
          <w:rFonts w:ascii="Georgia" w:eastAsia="Times New Roman" w:hAnsi="Georgia" w:cs="Times New Roman"/>
          <w:color w:val="333333"/>
          <w:sz w:val="24"/>
          <w:szCs w:val="24"/>
          <w:lang w:val="en" w:eastAsia="es-CR"/>
        </w:rPr>
        <w:t xml:space="preserve"> countries will need to increase from 3.5% to 6.3% of GDP to meet the $340 billion annual cost. Most </w:t>
      </w:r>
      <w:proofErr w:type="gramStart"/>
      <w:r w:rsidRPr="00FF37D9">
        <w:rPr>
          <w:rFonts w:ascii="Georgia" w:eastAsia="Times New Roman" w:hAnsi="Georgia" w:cs="Times New Roman"/>
          <w:color w:val="333333"/>
          <w:sz w:val="24"/>
          <w:szCs w:val="24"/>
          <w:lang w:val="en" w:eastAsia="es-CR"/>
        </w:rPr>
        <w:t>low income</w:t>
      </w:r>
      <w:proofErr w:type="gramEnd"/>
      <w:r w:rsidRPr="00FF37D9">
        <w:rPr>
          <w:rFonts w:ascii="Georgia" w:eastAsia="Times New Roman" w:hAnsi="Georgia" w:cs="Times New Roman"/>
          <w:color w:val="333333"/>
          <w:sz w:val="24"/>
          <w:szCs w:val="24"/>
          <w:lang w:val="en" w:eastAsia="es-CR"/>
        </w:rPr>
        <w:t xml:space="preserve"> countries already fall short of the required level to meet current education targets.</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The recent decline in aid to education is also worrying. </w:t>
      </w:r>
      <w:hyperlink r:id="rId12" w:history="1">
        <w:r w:rsidRPr="00FF37D9">
          <w:rPr>
            <w:rFonts w:ascii="Georgia" w:eastAsia="Times New Roman" w:hAnsi="Georgia" w:cs="Times New Roman"/>
            <w:color w:val="0066CC"/>
            <w:sz w:val="24"/>
            <w:szCs w:val="24"/>
            <w:u w:val="single"/>
            <w:lang w:val="en" w:eastAsia="es-CR"/>
          </w:rPr>
          <w:t xml:space="preserve">From 2010 to </w:t>
        </w:r>
        <w:proofErr w:type="gramStart"/>
        <w:r w:rsidRPr="00FF37D9">
          <w:rPr>
            <w:rFonts w:ascii="Georgia" w:eastAsia="Times New Roman" w:hAnsi="Georgia" w:cs="Times New Roman"/>
            <w:color w:val="0066CC"/>
            <w:sz w:val="24"/>
            <w:szCs w:val="24"/>
            <w:u w:val="single"/>
            <w:lang w:val="en" w:eastAsia="es-CR"/>
          </w:rPr>
          <w:t>2012</w:t>
        </w:r>
        <w:proofErr w:type="gramEnd"/>
      </w:hyperlink>
      <w:r w:rsidRPr="00FF37D9">
        <w:rPr>
          <w:rFonts w:ascii="Georgia" w:eastAsia="Times New Roman" w:hAnsi="Georgia" w:cs="Times New Roman"/>
          <w:color w:val="333333"/>
          <w:sz w:val="24"/>
          <w:szCs w:val="24"/>
          <w:lang w:val="en" w:eastAsia="es-CR"/>
        </w:rPr>
        <w:t xml:space="preserve"> aid to total education fell by 10%, a considerable decline when compared with the overall aid decline of 1% in the same period. Countries like the Netherlands, France, and Japan have reduced their aid to education during the same period. In addition, new policies have also hardened the terms in which countries can borrow loans or receive grants – with some requiring repayment of the entire “grant.”</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Given these developments, financing strategies for education will need to go hand in hand with innovative financing and buy-downs are one option that has the potential to unlock significant financial resources.</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t xml:space="preserve">If the international community is ever to meet the education SDGs, innovative financing such as buy-downs must become </w:t>
      </w:r>
      <w:proofErr w:type="gramStart"/>
      <w:r w:rsidRPr="00FF37D9">
        <w:rPr>
          <w:rFonts w:ascii="Georgia" w:eastAsia="Times New Roman" w:hAnsi="Georgia" w:cs="Times New Roman"/>
          <w:color w:val="333333"/>
          <w:sz w:val="24"/>
          <w:szCs w:val="24"/>
          <w:lang w:val="en" w:eastAsia="es-CR"/>
        </w:rPr>
        <w:t>part and parcel</w:t>
      </w:r>
      <w:proofErr w:type="gramEnd"/>
      <w:r w:rsidRPr="00FF37D9">
        <w:rPr>
          <w:rFonts w:ascii="Georgia" w:eastAsia="Times New Roman" w:hAnsi="Georgia" w:cs="Times New Roman"/>
          <w:color w:val="333333"/>
          <w:sz w:val="24"/>
          <w:szCs w:val="24"/>
          <w:lang w:val="en" w:eastAsia="es-CR"/>
        </w:rPr>
        <w:t xml:space="preserve"> of the global financial architecture. The adoption of broader and more ambitious SDGs will only make the availability of traditional funds scarcer. Unless alternative financing options </w:t>
      </w:r>
      <w:proofErr w:type="gramStart"/>
      <w:r w:rsidRPr="00FF37D9">
        <w:rPr>
          <w:rFonts w:ascii="Georgia" w:eastAsia="Times New Roman" w:hAnsi="Georgia" w:cs="Times New Roman"/>
          <w:color w:val="333333"/>
          <w:sz w:val="24"/>
          <w:szCs w:val="24"/>
          <w:lang w:val="en" w:eastAsia="es-CR"/>
        </w:rPr>
        <w:t>are embraced</w:t>
      </w:r>
      <w:proofErr w:type="gramEnd"/>
      <w:r w:rsidRPr="00FF37D9">
        <w:rPr>
          <w:rFonts w:ascii="Georgia" w:eastAsia="Times New Roman" w:hAnsi="Georgia" w:cs="Times New Roman"/>
          <w:color w:val="333333"/>
          <w:sz w:val="24"/>
          <w:szCs w:val="24"/>
          <w:lang w:val="en" w:eastAsia="es-CR"/>
        </w:rPr>
        <w:t>, education will continue to be underfunded and traditional – and the world will truly miss the chance to ensure that everyone has the right to a quality education.</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lastRenderedPageBreak/>
        <w:t> </w:t>
      </w:r>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hyperlink r:id="rId13" w:history="1">
        <w:r w:rsidRPr="00FF37D9">
          <w:rPr>
            <w:rFonts w:ascii="Georgia" w:eastAsia="Times New Roman" w:hAnsi="Georgia" w:cs="Times New Roman"/>
            <w:i/>
            <w:iCs/>
            <w:color w:val="0066CC"/>
            <w:sz w:val="24"/>
            <w:szCs w:val="24"/>
            <w:u w:val="single"/>
            <w:lang w:val="en" w:eastAsia="es-CR"/>
          </w:rPr>
          <w:t>Arjun Upadhyay</w:t>
        </w:r>
      </w:hyperlink>
      <w:r w:rsidRPr="00FF37D9">
        <w:rPr>
          <w:rFonts w:ascii="Georgia" w:eastAsia="Times New Roman" w:hAnsi="Georgia" w:cs="Times New Roman"/>
          <w:i/>
          <w:iCs/>
          <w:color w:val="333333"/>
          <w:sz w:val="24"/>
          <w:szCs w:val="24"/>
          <w:lang w:val="en" w:eastAsia="es-CR"/>
        </w:rPr>
        <w:t xml:space="preserve"> is a Senior Program Associate at Results for Development Institute is an </w:t>
      </w:r>
      <w:proofErr w:type="gramStart"/>
      <w:r w:rsidRPr="00FF37D9">
        <w:rPr>
          <w:rFonts w:ascii="Georgia" w:eastAsia="Times New Roman" w:hAnsi="Georgia" w:cs="Times New Roman"/>
          <w:i/>
          <w:iCs/>
          <w:color w:val="333333"/>
          <w:sz w:val="24"/>
          <w:szCs w:val="24"/>
          <w:lang w:val="en" w:eastAsia="es-CR"/>
        </w:rPr>
        <w:t>education financing</w:t>
      </w:r>
      <w:proofErr w:type="gramEnd"/>
      <w:r w:rsidRPr="00FF37D9">
        <w:rPr>
          <w:rFonts w:ascii="Georgia" w:eastAsia="Times New Roman" w:hAnsi="Georgia" w:cs="Times New Roman"/>
          <w:i/>
          <w:iCs/>
          <w:color w:val="333333"/>
          <w:sz w:val="24"/>
          <w:szCs w:val="24"/>
          <w:lang w:val="en" w:eastAsia="es-CR"/>
        </w:rPr>
        <w:t xml:space="preserve"> specialist at Results for Development Institute. Prior to R4D, he collaborated with USAID on post-primary education programs in conflict-affected countries </w:t>
      </w:r>
      <w:proofErr w:type="gramStart"/>
      <w:r w:rsidRPr="00FF37D9">
        <w:rPr>
          <w:rFonts w:ascii="Georgia" w:eastAsia="Times New Roman" w:hAnsi="Georgia" w:cs="Times New Roman"/>
          <w:i/>
          <w:iCs/>
          <w:color w:val="333333"/>
          <w:sz w:val="24"/>
          <w:szCs w:val="24"/>
          <w:lang w:val="en" w:eastAsia="es-CR"/>
        </w:rPr>
        <w:t>and also</w:t>
      </w:r>
      <w:proofErr w:type="gramEnd"/>
      <w:r w:rsidRPr="00FF37D9">
        <w:rPr>
          <w:rFonts w:ascii="Georgia" w:eastAsia="Times New Roman" w:hAnsi="Georgia" w:cs="Times New Roman"/>
          <w:i/>
          <w:iCs/>
          <w:color w:val="333333"/>
          <w:sz w:val="24"/>
          <w:szCs w:val="24"/>
          <w:lang w:val="en" w:eastAsia="es-CR"/>
        </w:rPr>
        <w:t xml:space="preserve"> worked for The Asia Foundation Philippines and the UN Institute for Training and Research (UNITAR). Email:  </w:t>
      </w:r>
      <w:hyperlink r:id="rId14" w:history="1">
        <w:r w:rsidRPr="00FF37D9">
          <w:rPr>
            <w:rFonts w:ascii="Georgia" w:eastAsia="Times New Roman" w:hAnsi="Georgia" w:cs="Times New Roman"/>
            <w:i/>
            <w:iCs/>
            <w:color w:val="0066CC"/>
            <w:sz w:val="24"/>
            <w:szCs w:val="24"/>
            <w:u w:val="single"/>
            <w:lang w:val="en" w:eastAsia="es-CR"/>
          </w:rPr>
          <w:t>aupadhyay@r4d.org</w:t>
        </w:r>
      </w:hyperlink>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hyperlink r:id="rId15" w:history="1">
        <w:r w:rsidRPr="00FF37D9">
          <w:rPr>
            <w:rFonts w:ascii="Georgia" w:eastAsia="Times New Roman" w:hAnsi="Georgia" w:cs="Times New Roman"/>
            <w:i/>
            <w:iCs/>
            <w:color w:val="0066CC"/>
            <w:sz w:val="24"/>
            <w:szCs w:val="24"/>
            <w:u w:val="single"/>
            <w:lang w:val="en" w:eastAsia="es-CR"/>
          </w:rPr>
          <w:t>Nicholas Burnett</w:t>
        </w:r>
      </w:hyperlink>
      <w:r w:rsidRPr="00FF37D9">
        <w:rPr>
          <w:rFonts w:ascii="Georgia" w:eastAsia="Times New Roman" w:hAnsi="Georgia" w:cs="Times New Roman"/>
          <w:i/>
          <w:iCs/>
          <w:color w:val="333333"/>
          <w:sz w:val="24"/>
          <w:szCs w:val="24"/>
          <w:lang w:val="en" w:eastAsia="es-CR"/>
        </w:rPr>
        <w:t xml:space="preserve"> is Managing Director for Education at Results for Development Institute. He was formerly United Nations Educational Scientific and Cultural Organization (UNESCO) Assistant Director-General for Education, and Director of the Education for All Global Monitoring Report.</w:t>
      </w:r>
      <w:r w:rsidRPr="00FF37D9">
        <w:rPr>
          <w:rFonts w:ascii="Georgia" w:eastAsia="Times New Roman" w:hAnsi="Georgia" w:cs="Times New Roman"/>
          <w:color w:val="333333"/>
          <w:sz w:val="24"/>
          <w:szCs w:val="24"/>
          <w:lang w:val="en" w:eastAsia="es-CR"/>
        </w:rPr>
        <w:t xml:space="preserve"> </w:t>
      </w:r>
      <w:r w:rsidRPr="00FF37D9">
        <w:rPr>
          <w:rFonts w:ascii="Georgia" w:eastAsia="Times New Roman" w:hAnsi="Georgia" w:cs="Times New Roman"/>
          <w:i/>
          <w:iCs/>
          <w:color w:val="333333"/>
          <w:sz w:val="24"/>
          <w:szCs w:val="24"/>
          <w:lang w:val="en" w:eastAsia="es-CR"/>
        </w:rPr>
        <w:t xml:space="preserve">Email:  </w:t>
      </w:r>
      <w:hyperlink r:id="rId16" w:history="1">
        <w:r w:rsidRPr="00FF37D9">
          <w:rPr>
            <w:rFonts w:ascii="Georgia" w:eastAsia="Times New Roman" w:hAnsi="Georgia" w:cs="Times New Roman"/>
            <w:i/>
            <w:iCs/>
            <w:color w:val="0066CC"/>
            <w:sz w:val="24"/>
            <w:szCs w:val="24"/>
            <w:u w:val="single"/>
            <w:lang w:val="en" w:eastAsia="es-CR"/>
          </w:rPr>
          <w:t>nburnett@r4d.org</w:t>
        </w:r>
      </w:hyperlink>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b/>
          <w:bCs/>
          <w:color w:val="333333"/>
          <w:sz w:val="24"/>
          <w:szCs w:val="24"/>
          <w:lang w:val="en" w:eastAsia="es-CR"/>
        </w:rPr>
        <w:t>&gt;&gt;View all </w:t>
      </w:r>
      <w:hyperlink r:id="rId17" w:history="1">
        <w:r w:rsidRPr="00FF37D9">
          <w:rPr>
            <w:rFonts w:ascii="Georgia" w:eastAsia="Times New Roman" w:hAnsi="Georgia" w:cs="Times New Roman"/>
            <w:b/>
            <w:bCs/>
            <w:color w:val="0066CC"/>
            <w:sz w:val="24"/>
            <w:szCs w:val="24"/>
            <w:u w:val="single"/>
            <w:lang w:val="en" w:eastAsia="es-CR"/>
          </w:rPr>
          <w:t>Innovative Financing Blogs </w:t>
        </w:r>
      </w:hyperlink>
      <w:r w:rsidRPr="00FF37D9">
        <w:rPr>
          <w:rFonts w:ascii="Georgia" w:eastAsia="Times New Roman" w:hAnsi="Georgia" w:cs="Times New Roman"/>
          <w:b/>
          <w:bCs/>
          <w:color w:val="333333"/>
          <w:sz w:val="24"/>
          <w:szCs w:val="24"/>
          <w:lang w:val="en" w:eastAsia="es-CR"/>
        </w:rPr>
        <w:t xml:space="preserve">on NORRAG </w:t>
      </w:r>
      <w:proofErr w:type="spellStart"/>
      <w:r w:rsidRPr="00FF37D9">
        <w:rPr>
          <w:rFonts w:ascii="Georgia" w:eastAsia="Times New Roman" w:hAnsi="Georgia" w:cs="Times New Roman"/>
          <w:b/>
          <w:bCs/>
          <w:color w:val="333333"/>
          <w:sz w:val="24"/>
          <w:szCs w:val="24"/>
          <w:lang w:val="en" w:eastAsia="es-CR"/>
        </w:rPr>
        <w:t>NEWSBite</w:t>
      </w:r>
      <w:proofErr w:type="spellEnd"/>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b/>
          <w:bCs/>
          <w:color w:val="333333"/>
          <w:sz w:val="24"/>
          <w:szCs w:val="24"/>
          <w:lang w:val="en" w:eastAsia="es-CR"/>
        </w:rPr>
        <w:t>&gt;&gt;View all </w:t>
      </w:r>
      <w:hyperlink r:id="rId18" w:history="1">
        <w:r w:rsidRPr="00FF37D9">
          <w:rPr>
            <w:rFonts w:ascii="Georgia" w:eastAsia="Times New Roman" w:hAnsi="Georgia" w:cs="Times New Roman"/>
            <w:b/>
            <w:bCs/>
            <w:color w:val="0066CC"/>
            <w:sz w:val="24"/>
            <w:szCs w:val="24"/>
            <w:u w:val="single"/>
            <w:lang w:val="en" w:eastAsia="es-CR"/>
          </w:rPr>
          <w:t>Post-2015 Blogs</w:t>
        </w:r>
      </w:hyperlink>
      <w:r w:rsidRPr="00FF37D9">
        <w:rPr>
          <w:rFonts w:ascii="Georgia" w:eastAsia="Times New Roman" w:hAnsi="Georgia" w:cs="Times New Roman"/>
          <w:b/>
          <w:bCs/>
          <w:color w:val="333333"/>
          <w:sz w:val="24"/>
          <w:szCs w:val="24"/>
          <w:lang w:val="en" w:eastAsia="es-CR"/>
        </w:rPr>
        <w:t xml:space="preserve"> on NORRAG </w:t>
      </w:r>
      <w:proofErr w:type="spellStart"/>
      <w:r w:rsidRPr="00FF37D9">
        <w:rPr>
          <w:rFonts w:ascii="Georgia" w:eastAsia="Times New Roman" w:hAnsi="Georgia" w:cs="Times New Roman"/>
          <w:b/>
          <w:bCs/>
          <w:color w:val="333333"/>
          <w:sz w:val="24"/>
          <w:szCs w:val="24"/>
          <w:lang w:val="en" w:eastAsia="es-CR"/>
        </w:rPr>
        <w:t>NEWSBite</w:t>
      </w:r>
      <w:proofErr w:type="spellEnd"/>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hyperlink r:id="rId19" w:history="1">
        <w:r w:rsidRPr="00FF37D9">
          <w:rPr>
            <w:rFonts w:ascii="Georgia" w:eastAsia="Times New Roman" w:hAnsi="Georgia" w:cs="Times New Roman"/>
            <w:color w:val="0066CC"/>
            <w:sz w:val="24"/>
            <w:szCs w:val="24"/>
            <w:u w:val="single"/>
            <w:lang w:val="en" w:eastAsia="es-CR"/>
          </w:rPr>
          <w:t>Follow this blog</w:t>
        </w:r>
      </w:hyperlink>
      <w:r w:rsidRPr="00FF37D9">
        <w:rPr>
          <w:rFonts w:ascii="Georgia" w:eastAsia="Times New Roman" w:hAnsi="Georgia" w:cs="Times New Roman"/>
          <w:color w:val="333333"/>
          <w:sz w:val="24"/>
          <w:szCs w:val="24"/>
          <w:lang w:val="en" w:eastAsia="es-CR"/>
        </w:rPr>
        <w:t> by email, Facebook or via </w:t>
      </w:r>
      <w:hyperlink r:id="rId20" w:history="1">
        <w:r w:rsidRPr="00FF37D9">
          <w:rPr>
            <w:rFonts w:ascii="Georgia" w:eastAsia="Times New Roman" w:hAnsi="Georgia" w:cs="Times New Roman"/>
            <w:color w:val="0066CC"/>
            <w:sz w:val="24"/>
            <w:szCs w:val="24"/>
            <w:u w:val="single"/>
            <w:lang w:val="en" w:eastAsia="es-CR"/>
          </w:rPr>
          <w:t>Twitter @NORRAG_NEWS</w:t>
        </w:r>
      </w:hyperlink>
    </w:p>
    <w:p w:rsidR="00FF37D9" w:rsidRPr="00FF37D9" w:rsidRDefault="00FF37D9" w:rsidP="00FF37D9">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hyperlink r:id="rId21" w:history="1">
        <w:r w:rsidRPr="00FF37D9">
          <w:rPr>
            <w:rFonts w:ascii="Georgia" w:eastAsia="Times New Roman" w:hAnsi="Georgia" w:cs="Times New Roman"/>
            <w:color w:val="0066CC"/>
            <w:sz w:val="24"/>
            <w:szCs w:val="24"/>
            <w:u w:val="single"/>
            <w:lang w:val="en" w:eastAsia="es-CR"/>
          </w:rPr>
          <w:t>NORRAG</w:t>
        </w:r>
      </w:hyperlink>
      <w:r w:rsidRPr="00FF37D9">
        <w:rPr>
          <w:rFonts w:ascii="Georgia" w:eastAsia="Times New Roman" w:hAnsi="Georgia" w:cs="Times New Roman"/>
          <w:color w:val="333333"/>
          <w:sz w:val="24"/>
          <w:szCs w:val="24"/>
          <w:lang w:val="en" w:eastAsia="es-CR"/>
        </w:rPr>
        <w:t xml:space="preserve"> (Network for International Policies and Cooperation in Education and Training) is an internationally </w:t>
      </w:r>
      <w:proofErr w:type="spellStart"/>
      <w:r w:rsidRPr="00FF37D9">
        <w:rPr>
          <w:rFonts w:ascii="Georgia" w:eastAsia="Times New Roman" w:hAnsi="Georgia" w:cs="Times New Roman"/>
          <w:color w:val="333333"/>
          <w:sz w:val="24"/>
          <w:szCs w:val="24"/>
          <w:lang w:val="en" w:eastAsia="es-CR"/>
        </w:rPr>
        <w:t>recognised</w:t>
      </w:r>
      <w:proofErr w:type="spellEnd"/>
      <w:r w:rsidRPr="00FF37D9">
        <w:rPr>
          <w:rFonts w:ascii="Georgia" w:eastAsia="Times New Roman" w:hAnsi="Georgia" w:cs="Times New Roman"/>
          <w:color w:val="333333"/>
          <w:sz w:val="24"/>
          <w:szCs w:val="24"/>
          <w:lang w:val="en" w:eastAsia="es-CR"/>
        </w:rPr>
        <w:t xml:space="preserve">, multi-stakeholder </w:t>
      </w:r>
      <w:proofErr w:type="gramStart"/>
      <w:r w:rsidRPr="00FF37D9">
        <w:rPr>
          <w:rFonts w:ascii="Georgia" w:eastAsia="Times New Roman" w:hAnsi="Georgia" w:cs="Times New Roman"/>
          <w:color w:val="333333"/>
          <w:sz w:val="24"/>
          <w:szCs w:val="24"/>
          <w:lang w:val="en" w:eastAsia="es-CR"/>
        </w:rPr>
        <w:t>network which</w:t>
      </w:r>
      <w:proofErr w:type="gramEnd"/>
      <w:r w:rsidRPr="00FF37D9">
        <w:rPr>
          <w:rFonts w:ascii="Georgia" w:eastAsia="Times New Roman" w:hAnsi="Georgia" w:cs="Times New Roman"/>
          <w:color w:val="333333"/>
          <w:sz w:val="24"/>
          <w:szCs w:val="24"/>
          <w:lang w:val="en" w:eastAsia="es-CR"/>
        </w:rPr>
        <w:t xml:space="preserve"> has been seeking to inform, challenge and influence international education and training policies and cooperation for almost 30 years. NORRAG has more than 4,300 registered members worldwide and is free to join. </w:t>
      </w:r>
      <w:hyperlink r:id="rId22" w:history="1">
        <w:r w:rsidRPr="00FF37D9">
          <w:rPr>
            <w:rFonts w:ascii="Georgia" w:eastAsia="Times New Roman" w:hAnsi="Georgia" w:cs="Times New Roman"/>
            <w:b/>
            <w:bCs/>
            <w:color w:val="0066CC"/>
            <w:sz w:val="24"/>
            <w:szCs w:val="24"/>
            <w:u w:val="single"/>
            <w:lang w:val="en" w:eastAsia="es-CR"/>
          </w:rPr>
          <w:t>Not a member? Join free here.</w:t>
        </w:r>
      </w:hyperlink>
    </w:p>
    <w:bookmarkStart w:id="2" w:name="_ftn1"/>
    <w:p w:rsidR="00FF37D9" w:rsidRPr="00FF37D9" w:rsidRDefault="00FF37D9" w:rsidP="00FF37D9">
      <w:pPr>
        <w:shd w:val="clear" w:color="auto" w:fill="FFFFFF"/>
        <w:spacing w:before="100" w:beforeAutospacing="1" w:line="360" w:lineRule="atLeast"/>
        <w:rPr>
          <w:rFonts w:ascii="Georgia" w:eastAsia="Times New Roman" w:hAnsi="Georgia" w:cs="Times New Roman"/>
          <w:color w:val="333333"/>
          <w:sz w:val="24"/>
          <w:szCs w:val="24"/>
          <w:lang w:val="en" w:eastAsia="es-CR"/>
        </w:rPr>
      </w:pPr>
      <w:r w:rsidRPr="00FF37D9">
        <w:rPr>
          <w:rFonts w:ascii="Georgia" w:eastAsia="Times New Roman" w:hAnsi="Georgia" w:cs="Times New Roman"/>
          <w:color w:val="333333"/>
          <w:sz w:val="24"/>
          <w:szCs w:val="24"/>
          <w:lang w:val="en" w:eastAsia="es-CR"/>
        </w:rPr>
        <w:fldChar w:fldCharType="begin"/>
      </w:r>
      <w:r w:rsidRPr="00FF37D9">
        <w:rPr>
          <w:rFonts w:ascii="Georgia" w:eastAsia="Times New Roman" w:hAnsi="Georgia" w:cs="Times New Roman"/>
          <w:color w:val="333333"/>
          <w:sz w:val="24"/>
          <w:szCs w:val="24"/>
          <w:lang w:val="en" w:eastAsia="es-CR"/>
        </w:rPr>
        <w:instrText xml:space="preserve"> HYPERLINK "https://norrag.wordpress.com/2015/09/29/time-to-think-outside-the-box-buy-downs-as-an-education-financing-option/" \l "_ftnref1" </w:instrText>
      </w:r>
      <w:r w:rsidRPr="00FF37D9">
        <w:rPr>
          <w:rFonts w:ascii="Georgia" w:eastAsia="Times New Roman" w:hAnsi="Georgia" w:cs="Times New Roman"/>
          <w:color w:val="333333"/>
          <w:sz w:val="24"/>
          <w:szCs w:val="24"/>
          <w:lang w:val="en" w:eastAsia="es-CR"/>
        </w:rPr>
        <w:fldChar w:fldCharType="separate"/>
      </w:r>
      <w:r w:rsidRPr="00FF37D9">
        <w:rPr>
          <w:rFonts w:ascii="Georgia" w:eastAsia="Times New Roman" w:hAnsi="Georgia" w:cs="Times New Roman"/>
          <w:color w:val="0066CC"/>
          <w:sz w:val="24"/>
          <w:szCs w:val="24"/>
          <w:u w:val="single"/>
          <w:lang w:val="en" w:eastAsia="es-CR"/>
        </w:rPr>
        <w:t>[1]</w:t>
      </w:r>
      <w:r w:rsidRPr="00FF37D9">
        <w:rPr>
          <w:rFonts w:ascii="Georgia" w:eastAsia="Times New Roman" w:hAnsi="Georgia" w:cs="Times New Roman"/>
          <w:color w:val="333333"/>
          <w:sz w:val="24"/>
          <w:szCs w:val="24"/>
          <w:lang w:val="en" w:eastAsia="es-CR"/>
        </w:rPr>
        <w:fldChar w:fldCharType="end"/>
      </w:r>
      <w:bookmarkEnd w:id="2"/>
      <w:r w:rsidRPr="00FF37D9">
        <w:rPr>
          <w:rFonts w:ascii="Georgia" w:eastAsia="Times New Roman" w:hAnsi="Georgia" w:cs="Times New Roman"/>
          <w:color w:val="333333"/>
          <w:sz w:val="24"/>
          <w:szCs w:val="24"/>
          <w:lang w:val="en" w:eastAsia="es-CR"/>
        </w:rPr>
        <w:t xml:space="preserve"> International Monetary Fund</w:t>
      </w:r>
    </w:p>
    <w:p w:rsidR="00593B5B" w:rsidRDefault="00593B5B"/>
    <w:sectPr w:rsidR="00593B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D9"/>
    <w:rsid w:val="00593B5B"/>
    <w:rsid w:val="008F75E2"/>
    <w:rsid w:val="00FF37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10526-5F16-4BAF-9575-F27A69B8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37D9"/>
    <w:rPr>
      <w:color w:val="0066CC"/>
      <w:u w:val="single"/>
    </w:rPr>
  </w:style>
  <w:style w:type="character" w:styleId="nfasis">
    <w:name w:val="Emphasis"/>
    <w:basedOn w:val="Fuentedeprrafopredeter"/>
    <w:uiPriority w:val="20"/>
    <w:qFormat/>
    <w:rsid w:val="00FF37D9"/>
    <w:rPr>
      <w:i/>
      <w:iCs/>
    </w:rPr>
  </w:style>
  <w:style w:type="character" w:styleId="Textoennegrita">
    <w:name w:val="Strong"/>
    <w:basedOn w:val="Fuentedeprrafopredeter"/>
    <w:uiPriority w:val="22"/>
    <w:qFormat/>
    <w:rsid w:val="00FF37D9"/>
    <w:rPr>
      <w:b/>
      <w:bCs/>
    </w:rPr>
  </w:style>
  <w:style w:type="character" w:customStyle="1" w:styleId="meta-prep">
    <w:name w:val="meta-prep"/>
    <w:basedOn w:val="Fuentedeprrafopredeter"/>
    <w:rsid w:val="00FF37D9"/>
  </w:style>
  <w:style w:type="character" w:customStyle="1" w:styleId="entry-date">
    <w:name w:val="entry-date"/>
    <w:basedOn w:val="Fuentedeprrafopredeter"/>
    <w:rsid w:val="00FF37D9"/>
  </w:style>
  <w:style w:type="character" w:customStyle="1" w:styleId="by-author">
    <w:name w:val="by-author"/>
    <w:basedOn w:val="Fuentedeprrafopredeter"/>
    <w:rsid w:val="00FF37D9"/>
  </w:style>
  <w:style w:type="character" w:customStyle="1" w:styleId="sep">
    <w:name w:val="sep"/>
    <w:basedOn w:val="Fuentedeprrafopredeter"/>
    <w:rsid w:val="00FF37D9"/>
  </w:style>
  <w:style w:type="character" w:customStyle="1" w:styleId="author">
    <w:name w:val="author"/>
    <w:basedOn w:val="Fuentedeprrafopredeter"/>
    <w:rsid w:val="00FF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32393">
      <w:bodyDiv w:val="1"/>
      <w:marLeft w:val="0"/>
      <w:marRight w:val="0"/>
      <w:marTop w:val="0"/>
      <w:marBottom w:val="0"/>
      <w:divBdr>
        <w:top w:val="none" w:sz="0" w:space="0" w:color="auto"/>
        <w:left w:val="none" w:sz="0" w:space="0" w:color="auto"/>
        <w:bottom w:val="none" w:sz="0" w:space="0" w:color="auto"/>
        <w:right w:val="none" w:sz="0" w:space="0" w:color="auto"/>
      </w:divBdr>
      <w:divsChild>
        <w:div w:id="2104108027">
          <w:marLeft w:val="0"/>
          <w:marRight w:val="0"/>
          <w:marTop w:val="300"/>
          <w:marBottom w:val="0"/>
          <w:divBdr>
            <w:top w:val="none" w:sz="0" w:space="0" w:color="auto"/>
            <w:left w:val="none" w:sz="0" w:space="0" w:color="auto"/>
            <w:bottom w:val="none" w:sz="0" w:space="0" w:color="auto"/>
            <w:right w:val="none" w:sz="0" w:space="0" w:color="auto"/>
          </w:divBdr>
          <w:divsChild>
            <w:div w:id="1600483246">
              <w:marLeft w:val="0"/>
              <w:marRight w:val="0"/>
              <w:marTop w:val="0"/>
              <w:marBottom w:val="0"/>
              <w:divBdr>
                <w:top w:val="none" w:sz="0" w:space="0" w:color="auto"/>
                <w:left w:val="none" w:sz="0" w:space="0" w:color="auto"/>
                <w:bottom w:val="none" w:sz="0" w:space="0" w:color="auto"/>
                <w:right w:val="none" w:sz="0" w:space="0" w:color="auto"/>
              </w:divBdr>
              <w:divsChild>
                <w:div w:id="863130616">
                  <w:marLeft w:val="0"/>
                  <w:marRight w:val="-3600"/>
                  <w:marTop w:val="0"/>
                  <w:marBottom w:val="0"/>
                  <w:divBdr>
                    <w:top w:val="none" w:sz="0" w:space="0" w:color="auto"/>
                    <w:left w:val="none" w:sz="0" w:space="0" w:color="auto"/>
                    <w:bottom w:val="none" w:sz="0" w:space="0" w:color="auto"/>
                    <w:right w:val="none" w:sz="0" w:space="0" w:color="auto"/>
                  </w:divBdr>
                  <w:divsChild>
                    <w:div w:id="1899433663">
                      <w:marLeft w:val="300"/>
                      <w:marRight w:val="4200"/>
                      <w:marTop w:val="0"/>
                      <w:marBottom w:val="540"/>
                      <w:divBdr>
                        <w:top w:val="none" w:sz="0" w:space="0" w:color="auto"/>
                        <w:left w:val="none" w:sz="0" w:space="0" w:color="auto"/>
                        <w:bottom w:val="none" w:sz="0" w:space="0" w:color="auto"/>
                        <w:right w:val="none" w:sz="0" w:space="0" w:color="auto"/>
                      </w:divBdr>
                      <w:divsChild>
                        <w:div w:id="1207721580">
                          <w:marLeft w:val="0"/>
                          <w:marRight w:val="0"/>
                          <w:marTop w:val="0"/>
                          <w:marBottom w:val="0"/>
                          <w:divBdr>
                            <w:top w:val="none" w:sz="0" w:space="0" w:color="auto"/>
                            <w:left w:val="none" w:sz="0" w:space="0" w:color="auto"/>
                            <w:bottom w:val="none" w:sz="0" w:space="0" w:color="auto"/>
                            <w:right w:val="none" w:sz="0" w:space="0" w:color="auto"/>
                          </w:divBdr>
                          <w:divsChild>
                            <w:div w:id="495732569">
                              <w:marLeft w:val="0"/>
                              <w:marRight w:val="0"/>
                              <w:marTop w:val="0"/>
                              <w:marBottom w:val="0"/>
                              <w:divBdr>
                                <w:top w:val="none" w:sz="0" w:space="0" w:color="auto"/>
                                <w:left w:val="none" w:sz="0" w:space="0" w:color="auto"/>
                                <w:bottom w:val="none" w:sz="0" w:space="0" w:color="auto"/>
                                <w:right w:val="none" w:sz="0" w:space="0" w:color="auto"/>
                              </w:divBdr>
                            </w:div>
                            <w:div w:id="10414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23/002321/232197E.pdf" TargetMode="External"/><Relationship Id="rId13" Type="http://schemas.openxmlformats.org/officeDocument/2006/relationships/hyperlink" Target="http://r4d.org/experts/arjun-upadhyay" TargetMode="External"/><Relationship Id="rId18" Type="http://schemas.openxmlformats.org/officeDocument/2006/relationships/hyperlink" Target="https://norrag.wordpress.com/tag/post-2015-education-goals/" TargetMode="External"/><Relationship Id="rId3" Type="http://schemas.openxmlformats.org/officeDocument/2006/relationships/webSettings" Target="webSettings.xml"/><Relationship Id="rId21" Type="http://schemas.openxmlformats.org/officeDocument/2006/relationships/hyperlink" Target="http://www.norrag.org/" TargetMode="External"/><Relationship Id="rId7" Type="http://schemas.openxmlformats.org/officeDocument/2006/relationships/image" Target="media/image1.jpeg"/><Relationship Id="rId12" Type="http://schemas.openxmlformats.org/officeDocument/2006/relationships/hyperlink" Target="http://unesdoc.unesco.org/images/0022/002281/228184E.pdf" TargetMode="External"/><Relationship Id="rId17" Type="http://schemas.openxmlformats.org/officeDocument/2006/relationships/hyperlink" Target="https://norrag.wordpress.com/tag/innovative-financing/" TargetMode="External"/><Relationship Id="rId2" Type="http://schemas.openxmlformats.org/officeDocument/2006/relationships/settings" Target="settings.xml"/><Relationship Id="rId16" Type="http://schemas.openxmlformats.org/officeDocument/2006/relationships/hyperlink" Target="mailto:nburnett@r4d.org" TargetMode="External"/><Relationship Id="rId20" Type="http://schemas.openxmlformats.org/officeDocument/2006/relationships/hyperlink" Target="https://twitter.com/NORRAG_NEWS" TargetMode="External"/><Relationship Id="rId1" Type="http://schemas.openxmlformats.org/officeDocument/2006/relationships/styles" Target="styles.xml"/><Relationship Id="rId6" Type="http://schemas.openxmlformats.org/officeDocument/2006/relationships/hyperlink" Target="https://norrag.wordpress.com/2015/09/29/time-to-think-outside-the-box-buy-downs-as-an-education-financing-option/" TargetMode="External"/><Relationship Id="rId11" Type="http://schemas.openxmlformats.org/officeDocument/2006/relationships/hyperlink" Target="http://www.worldbank.org/en/about/what-we-do/brief/ibrd" TargetMode="External"/><Relationship Id="rId24" Type="http://schemas.openxmlformats.org/officeDocument/2006/relationships/theme" Target="theme/theme1.xml"/><Relationship Id="rId5" Type="http://schemas.openxmlformats.org/officeDocument/2006/relationships/hyperlink" Target="https://norrag.wordpress.com/author/norrag/" TargetMode="External"/><Relationship Id="rId15" Type="http://schemas.openxmlformats.org/officeDocument/2006/relationships/hyperlink" Target="http://r4d.org/nicholas-burnett" TargetMode="External"/><Relationship Id="rId23" Type="http://schemas.openxmlformats.org/officeDocument/2006/relationships/fontTable" Target="fontTable.xml"/><Relationship Id="rId10" Type="http://schemas.openxmlformats.org/officeDocument/2006/relationships/hyperlink" Target="http://www.globalpartnership.org/" TargetMode="External"/><Relationship Id="rId19" Type="http://schemas.openxmlformats.org/officeDocument/2006/relationships/hyperlink" Target="https://norrag.wordpress.com/about-2/follow-norrag-newsbite/" TargetMode="External"/><Relationship Id="rId4" Type="http://schemas.openxmlformats.org/officeDocument/2006/relationships/hyperlink" Target="https://norrag.wordpress.com/2015/09/29/time-to-think-outside-the-box-buy-downs-as-an-education-financing-option/" TargetMode="External"/><Relationship Id="rId9" Type="http://schemas.openxmlformats.org/officeDocument/2006/relationships/hyperlink" Target="http://unesdoc.unesco.org/images/0023/002321/232197E.pdf" TargetMode="External"/><Relationship Id="rId14" Type="http://schemas.openxmlformats.org/officeDocument/2006/relationships/hyperlink" Target="mailto:aupadhyay@r4d.org" TargetMode="External"/><Relationship Id="rId22" Type="http://schemas.openxmlformats.org/officeDocument/2006/relationships/hyperlink" Target="http://www.norrag.org/en/registe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7413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2</cp:revision>
  <dcterms:created xsi:type="dcterms:W3CDTF">2016-10-25T03:56:00Z</dcterms:created>
  <dcterms:modified xsi:type="dcterms:W3CDTF">2016-10-25T03:56:00Z</dcterms:modified>
</cp:coreProperties>
</file>