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9C" w:rsidRPr="000B2D9C" w:rsidRDefault="000B2D9C" w:rsidP="000B2D9C">
      <w:pPr>
        <w:shd w:val="clear" w:color="auto" w:fill="FFFFFF"/>
        <w:spacing w:before="90" w:after="75" w:line="870" w:lineRule="atLeast"/>
        <w:outlineLvl w:val="0"/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</w:pPr>
      <w:proofErr w:type="spellStart"/>
      <w:r w:rsidRPr="000B2D9C"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  <w:t>Parcerias</w:t>
      </w:r>
      <w:proofErr w:type="spellEnd"/>
      <w:r w:rsidRPr="000B2D9C"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  <w:t xml:space="preserve"> </w:t>
      </w:r>
      <w:proofErr w:type="spellStart"/>
      <w:r w:rsidRPr="000B2D9C"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  <w:t>em</w:t>
      </w:r>
      <w:proofErr w:type="spellEnd"/>
      <w:r w:rsidRPr="000B2D9C"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  <w:t xml:space="preserve"> </w:t>
      </w:r>
      <w:proofErr w:type="spellStart"/>
      <w:r w:rsidRPr="000B2D9C"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  <w:t>prol</w:t>
      </w:r>
      <w:proofErr w:type="spellEnd"/>
      <w:r w:rsidRPr="000B2D9C">
        <w:rPr>
          <w:rFonts w:ascii="Times New Roman" w:eastAsia="Times New Roman" w:hAnsi="Times New Roman" w:cs="Times New Roman"/>
          <w:color w:val="222222"/>
          <w:spacing w:val="-5"/>
          <w:kern w:val="36"/>
          <w:sz w:val="72"/>
          <w:szCs w:val="72"/>
          <w:lang w:eastAsia="es-CR"/>
        </w:rPr>
        <w:t xml:space="preserve"> da Educação</w:t>
      </w:r>
    </w:p>
    <w:p w:rsidR="000B2D9C" w:rsidRPr="000B2D9C" w:rsidRDefault="000B2D9C" w:rsidP="000B2D9C">
      <w:pPr>
        <w:pBdr>
          <w:top w:val="dashed" w:sz="6" w:space="4" w:color="F1F1F1"/>
          <w:bottom w:val="dashed" w:sz="6" w:space="6" w:color="F1F1F1"/>
        </w:pBdr>
        <w:shd w:val="clear" w:color="auto" w:fill="FFFFFF"/>
        <w:spacing w:before="195" w:after="195" w:line="390" w:lineRule="atLeast"/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</w:pPr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A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integração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entre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setores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deixa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de ser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ideal e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passa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a ser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imperativo do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século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XXI visando à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durabilidade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das iniciativas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sociais</w:t>
      </w:r>
      <w:proofErr w:type="spellEnd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 xml:space="preserve"> nos </w:t>
      </w:r>
      <w:proofErr w:type="spellStart"/>
      <w:r w:rsidRPr="000B2D9C">
        <w:rPr>
          <w:rFonts w:ascii="Helvetica" w:eastAsia="Times New Roman" w:hAnsi="Helvetica" w:cs="Times New Roman"/>
          <w:color w:val="999999"/>
          <w:sz w:val="27"/>
          <w:szCs w:val="27"/>
          <w:lang w:eastAsia="es-CR"/>
        </w:rPr>
        <w:t>territórios</w:t>
      </w:r>
      <w:proofErr w:type="spellEnd"/>
    </w:p>
    <w:p w:rsidR="000B2D9C" w:rsidRPr="000B2D9C" w:rsidRDefault="000B2D9C" w:rsidP="000B2D9C">
      <w:pPr>
        <w:shd w:val="clear" w:color="auto" w:fill="FFFFFF"/>
        <w:spacing w:after="0" w:line="240" w:lineRule="atLeast"/>
        <w:rPr>
          <w:rFonts w:ascii="Helvetica" w:eastAsia="Times New Roman" w:hAnsi="Helvetica" w:cs="Arial"/>
          <w:b/>
          <w:bCs/>
          <w:caps/>
          <w:color w:val="444444"/>
          <w:sz w:val="18"/>
          <w:szCs w:val="18"/>
          <w:lang w:eastAsia="es-CR"/>
        </w:rPr>
      </w:pPr>
      <w:r w:rsidRPr="000B2D9C">
        <w:rPr>
          <w:rFonts w:ascii="Helvetica" w:eastAsia="Times New Roman" w:hAnsi="Helvetica" w:cs="Arial"/>
          <w:b/>
          <w:bCs/>
          <w:caps/>
          <w:color w:val="444444"/>
          <w:sz w:val="18"/>
          <w:szCs w:val="18"/>
          <w:lang w:eastAsia="es-CR"/>
        </w:rPr>
        <w:t>ANDREIA RABETIM E ISABEL ACHÉ</w:t>
      </w:r>
    </w:p>
    <w:p w:rsidR="000B2D9C" w:rsidRPr="000B2D9C" w:rsidRDefault="000B2D9C" w:rsidP="000B2D9C">
      <w:pPr>
        <w:shd w:val="clear" w:color="auto" w:fill="FFFFFF"/>
        <w:spacing w:line="240" w:lineRule="atLeast"/>
        <w:rPr>
          <w:rFonts w:ascii="Arial" w:eastAsia="Times New Roman" w:hAnsi="Arial" w:cs="Arial"/>
          <w:color w:val="444444"/>
          <w:sz w:val="17"/>
          <w:szCs w:val="17"/>
          <w:lang w:eastAsia="es-CR"/>
        </w:rPr>
      </w:pPr>
      <w:r w:rsidRPr="000B2D9C">
        <w:rPr>
          <w:rFonts w:ascii="Arial" w:eastAsia="Times New Roman" w:hAnsi="Arial" w:cs="Arial"/>
          <w:color w:val="444444"/>
          <w:sz w:val="17"/>
          <w:szCs w:val="17"/>
          <w:lang w:eastAsia="es-CR"/>
        </w:rPr>
        <w:t xml:space="preserve"> 5 de </w:t>
      </w:r>
      <w:proofErr w:type="spellStart"/>
      <w:r w:rsidRPr="000B2D9C">
        <w:rPr>
          <w:rFonts w:ascii="Arial" w:eastAsia="Times New Roman" w:hAnsi="Arial" w:cs="Arial"/>
          <w:color w:val="444444"/>
          <w:sz w:val="17"/>
          <w:szCs w:val="17"/>
          <w:lang w:eastAsia="es-CR"/>
        </w:rPr>
        <w:t>outubro</w:t>
      </w:r>
      <w:proofErr w:type="spellEnd"/>
      <w:r w:rsidRPr="000B2D9C">
        <w:rPr>
          <w:rFonts w:ascii="Arial" w:eastAsia="Times New Roman" w:hAnsi="Arial" w:cs="Arial"/>
          <w:color w:val="444444"/>
          <w:sz w:val="17"/>
          <w:szCs w:val="17"/>
          <w:lang w:eastAsia="es-CR"/>
        </w:rPr>
        <w:t xml:space="preserve"> de 2016</w:t>
      </w:r>
    </w:p>
    <w:p w:rsidR="000B2D9C" w:rsidRPr="000B2D9C" w:rsidRDefault="000B2D9C" w:rsidP="000B2D9C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>DIVULGAÇÃO/ AGÊNCIA PARÁ</w:t>
      </w:r>
    </w:p>
    <w:p w:rsidR="000B2D9C" w:rsidRDefault="000B2D9C" w:rsidP="000B2D9C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noProof/>
          <w:color w:val="F5A425"/>
          <w:sz w:val="23"/>
          <w:szCs w:val="23"/>
          <w:lang w:eastAsia="es-CR"/>
        </w:rPr>
        <w:drawing>
          <wp:inline distT="0" distB="0" distL="0" distR="0">
            <wp:extent cx="3954548" cy="2638425"/>
            <wp:effectExtent l="0" t="0" r="8255" b="0"/>
            <wp:docPr id="1" name="Imagen 1" descr="http://www.cartaeducacao.com.br/wp-content/uploads/2016/10/para-640x42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taeducacao.com.br/wp-content/uploads/2016/10/para-640x42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133" cy="264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D9C" w:rsidRDefault="000B2D9C" w:rsidP="000B2D9C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</w:pPr>
    </w:p>
    <w:p w:rsidR="000B2D9C" w:rsidRPr="000B2D9C" w:rsidRDefault="000B2D9C" w:rsidP="000B2D9C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 xml:space="preserve">O Pará </w:t>
      </w:r>
      <w:proofErr w:type="spellStart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>mobilizou</w:t>
      </w:r>
      <w:proofErr w:type="spellEnd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 xml:space="preserve"> diferentes </w:t>
      </w:r>
      <w:proofErr w:type="spellStart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>setores</w:t>
      </w:r>
      <w:proofErr w:type="spellEnd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>sociedade</w:t>
      </w:r>
      <w:proofErr w:type="spellEnd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 xml:space="preserve"> para a </w:t>
      </w:r>
      <w:proofErr w:type="spellStart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>melhoria</w:t>
      </w:r>
      <w:proofErr w:type="spellEnd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>educação</w:t>
      </w:r>
      <w:proofErr w:type="spellEnd"/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t xml:space="preserve"> pública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nova lógica de investimento social privado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vem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se consolidando no Brasil,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especial para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voltadas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à </w:t>
      </w:r>
      <w:hyperlink r:id="rId6" w:tgtFrame="_blank" w:history="1">
        <w:r w:rsidRPr="000B2D9C">
          <w:rPr>
            <w:rFonts w:ascii="Helvetica" w:eastAsia="Times New Roman" w:hAnsi="Helvetica" w:cs="Times New Roman"/>
            <w:color w:val="F5A425"/>
            <w:sz w:val="23"/>
            <w:szCs w:val="23"/>
            <w:u w:val="single"/>
            <w:lang w:eastAsia="es-CR"/>
          </w:rPr>
          <w:t>Educação</w:t>
        </w:r>
      </w:hyperlink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O resultado da pesquisa Benchmarking Investimento Social Corporativo (BISC) 2015, realizada pela ONG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Comunitas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confirma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tendência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já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indicada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nas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edições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anteriores no que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diz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respeito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à forma como se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relações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investimento social corporativo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atores externos,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apontando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para 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fortalecimento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parcerias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administrações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públicas,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cadeias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fornecedores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organizações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sociais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especialmente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aquelas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que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atuam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ponta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.</w:t>
      </w:r>
    </w:p>
    <w:p w:rsidR="000B2D9C" w:rsidRPr="000B2D9C" w:rsidRDefault="000B2D9C" w:rsidP="000B2D9C">
      <w:pPr>
        <w:shd w:val="clear" w:color="auto" w:fill="FFFFFF"/>
        <w:spacing w:after="0" w:line="360" w:lineRule="atLeast"/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444444"/>
          <w:sz w:val="23"/>
          <w:szCs w:val="23"/>
          <w:lang w:eastAsia="es-CR"/>
        </w:rPr>
        <w:br/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lastRenderedPageBreak/>
        <w:t>Ainda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acordo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 BISC 2015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, 80% das empresas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envolveram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organizações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públicas no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desenvolvimento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suas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mais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metade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fortaleceu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esse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trabalho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conjunto nos últimos anos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relacionamento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organizações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sociais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sido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mantido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por 100% delas.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Segundo Anna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Peliano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coordenadora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pesquisa, 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a área de Educação continua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sendo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a que recebe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maior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atenção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por parte dos institutos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fundações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: 70%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seus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recursos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para esta área, algo na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ordem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R$ 872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milhões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o que representa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aumento de 10%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relação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ano anterior e de 50% se comparado a 2010. 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direcionadas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principalmente para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educação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formal e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capacitação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profissionais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área como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professores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gestores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organizações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ensino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análise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desse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resultado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aponta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para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importância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e para as novas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possibilidades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de se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introduzir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a lógica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articulação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intersetorial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no país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haja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visto que,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historicamente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sociedade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civil, Estado, e empresas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caminharam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 xml:space="preserve"> de forma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isolada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highlight w:val="yellow"/>
          <w:lang w:eastAsia="es-CR"/>
        </w:rPr>
        <w:t>.</w:t>
      </w:r>
      <w:bookmarkStart w:id="0" w:name="_GoBack"/>
      <w:bookmarkEnd w:id="0"/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Para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contrapor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modelo de 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fldChar w:fldCharType="begin"/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instrText xml:space="preserve"> HYPERLINK "http://www.cartaeducacao.com.br/entrevistas/educacao-de-qualidade-e-%E2%80%A8condicao-para-o-%E2%80%A8crescimento-social/" \t "_blank" </w:instrTex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fldChar w:fldCharType="separate"/>
      </w:r>
      <w:r w:rsidRPr="000B2D9C">
        <w:rPr>
          <w:rFonts w:ascii="Helvetica" w:eastAsia="Times New Roman" w:hAnsi="Helvetica" w:cs="Times New Roman"/>
          <w:color w:val="F5A425"/>
          <w:sz w:val="23"/>
          <w:szCs w:val="23"/>
          <w:u w:val="single"/>
          <w:lang w:eastAsia="es-CR"/>
        </w:rPr>
        <w:t>atuação</w:t>
      </w:r>
      <w:proofErr w:type="spellEnd"/>
      <w:r w:rsidRPr="000B2D9C">
        <w:rPr>
          <w:rFonts w:ascii="Helvetica" w:eastAsia="Times New Roman" w:hAnsi="Helvetica" w:cs="Times New Roman"/>
          <w:color w:val="F5A425"/>
          <w:sz w:val="23"/>
          <w:szCs w:val="23"/>
          <w:u w:val="single"/>
          <w:lang w:eastAsia="es-CR"/>
        </w:rPr>
        <w:t xml:space="preserve"> social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fldChar w:fldCharType="end"/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 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ainda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hoje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fragmentado,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intersetorialidade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ganha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força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como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forma de tratar 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necessidades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cidadãos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levando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conta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como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elas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apresentam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realidade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ou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seja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interligadas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interdependentes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multideterminadas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2013, por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exemplo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governo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Estado do Pará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iniciou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esforços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no sentido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mobilizar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diferentes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setores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sociedade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para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melhoria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qualidade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educação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pública, no chamado Pacto pela Educação do Pará.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Nesse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contexto, 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município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Canaã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Carajás, localizado no Sudeste do Estado,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aderiu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Pacto,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lançando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mesma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iniciativa no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âmbito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municipal, o que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trazido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bons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resultados para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educação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cidade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Fundada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1994,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Canaã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Carajás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passou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por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intenso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processo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crescimento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econômico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decorrente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projetos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mineração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Por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meio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Pacto de Educação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Canaã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Carajás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outras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secretarias,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empresários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responsáveis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instituições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locais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foram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mobilizados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apoiar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 Secretaria Municipal de Educação.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Nesse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processo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simples, mas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grande potencial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transformação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foram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adotadas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Entre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elas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mobilização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responsáveis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ampliando significativamente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presença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deles na vida escolar das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crianças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lastRenderedPageBreak/>
        <w:t>Alguns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efeitos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toda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essa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articulação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aparecem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nos resultados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obtidos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através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Sistema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Paraense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Avaliação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Educacional (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Sispae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), que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abrange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os componentes curriculares de 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fldChar w:fldCharType="begin"/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instrText xml:space="preserve"> HYPERLINK "http://www.cartaeducacao.com.br/disciplinas/portugues/" \t "_blank" </w:instrTex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fldChar w:fldCharType="separate"/>
      </w:r>
      <w:r w:rsidRPr="000B2D9C">
        <w:rPr>
          <w:rFonts w:ascii="Helvetica" w:eastAsia="Times New Roman" w:hAnsi="Helvetica" w:cs="Times New Roman"/>
          <w:color w:val="F5A425"/>
          <w:sz w:val="23"/>
          <w:szCs w:val="23"/>
          <w:u w:val="single"/>
          <w:lang w:eastAsia="es-CR"/>
        </w:rPr>
        <w:t>Língua</w:t>
      </w:r>
      <w:proofErr w:type="spellEnd"/>
      <w:r w:rsidRPr="000B2D9C">
        <w:rPr>
          <w:rFonts w:ascii="Helvetica" w:eastAsia="Times New Roman" w:hAnsi="Helvetica" w:cs="Times New Roman"/>
          <w:color w:val="F5A425"/>
          <w:sz w:val="23"/>
          <w:szCs w:val="23"/>
          <w:u w:val="single"/>
          <w:lang w:eastAsia="es-CR"/>
        </w:rPr>
        <w:t xml:space="preserve"> Portuguesa</w:t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fldChar w:fldCharType="end"/>
      </w: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 e </w:t>
      </w:r>
      <w:hyperlink r:id="rId7" w:tgtFrame="_blank" w:history="1">
        <w:r w:rsidRPr="000B2D9C">
          <w:rPr>
            <w:rFonts w:ascii="Helvetica" w:eastAsia="Times New Roman" w:hAnsi="Helvetica" w:cs="Times New Roman"/>
            <w:color w:val="F5A425"/>
            <w:sz w:val="23"/>
            <w:szCs w:val="23"/>
            <w:u w:val="single"/>
            <w:lang w:eastAsia="es-CR"/>
          </w:rPr>
          <w:t>Matemática</w:t>
        </w:r>
      </w:hyperlink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 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nas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turmas de 4º, 5º, 7º e 8º ano 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Ensino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Fundamental e todo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Ensino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Médio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De 2014 para 2015,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foi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possível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observar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avanço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30,6%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Língua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Portuguesa e 27%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Matemática para os anos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iniciais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Ensino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Fundamental (4º e 5º ano).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Já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nos anos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finais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Ensino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Fundamental (7º e 8º ano), 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avanço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foi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50,2%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Língua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Portuguesa e 60,2%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Matemática.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Outro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reflexo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positivo pode ser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analisado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Avaliação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Nacional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Alfabetização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(Ana), realizada pelo Instituto Nacional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Estudos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Pesquisas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Educacionais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(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Inep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),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2015.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Canaã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dos Carajás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apresentou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melhora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significativa tanto na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Leitura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como na Matemática, comparando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com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mesma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avaliação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aplicada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2013 no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município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Cabe destacar que todos os índices 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município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foram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superiores à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média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Governo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do Estado.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experiência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tem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mostrado que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integração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entre os atores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deixa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ser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ideal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passa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a ser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um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imperativo do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século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XXI visando à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durabilidade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das iniciativas nos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territórios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.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Hoje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a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realização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parcerias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se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mostra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como a principal alternativa para que as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ações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investimento social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tenham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simultaneamente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maior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impacto positivo,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ganhos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de escala,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qualidade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e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custos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decrescentes</w:t>
      </w:r>
      <w:proofErr w:type="spellEnd"/>
      <w:r w:rsidRPr="000B2D9C"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  <w:t>.</w:t>
      </w:r>
    </w:p>
    <w:p w:rsidR="000B2D9C" w:rsidRPr="000B2D9C" w:rsidRDefault="000B2D9C" w:rsidP="000B2D9C">
      <w:pPr>
        <w:shd w:val="clear" w:color="auto" w:fill="FFFFFF"/>
        <w:spacing w:after="360" w:line="360" w:lineRule="atLeast"/>
        <w:rPr>
          <w:rFonts w:ascii="Helvetica" w:eastAsia="Times New Roman" w:hAnsi="Helvetica" w:cs="Times New Roman"/>
          <w:color w:val="222222"/>
          <w:sz w:val="23"/>
          <w:szCs w:val="23"/>
          <w:lang w:eastAsia="es-CR"/>
        </w:rPr>
      </w:pPr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*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Andreia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Rabetim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 e Isabel 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Aché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, gerente e especialista 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em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parcerias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 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intersetoriais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 da </w:t>
      </w:r>
      <w:proofErr w:type="spellStart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>Fundação</w:t>
      </w:r>
      <w:proofErr w:type="spellEnd"/>
      <w:r w:rsidRPr="000B2D9C">
        <w:rPr>
          <w:rFonts w:ascii="Helvetica" w:eastAsia="Times New Roman" w:hAnsi="Helvetica" w:cs="Times New Roman"/>
          <w:i/>
          <w:iCs/>
          <w:color w:val="222222"/>
          <w:sz w:val="23"/>
          <w:szCs w:val="23"/>
          <w:lang w:eastAsia="es-CR"/>
        </w:rPr>
        <w:t xml:space="preserve"> Vale</w:t>
      </w:r>
    </w:p>
    <w:p w:rsidR="00B809D5" w:rsidRDefault="00B809D5"/>
    <w:sectPr w:rsidR="00B809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C"/>
    <w:rsid w:val="000B2D9C"/>
    <w:rsid w:val="00B8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7433B-0364-42DC-915D-BD064A69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B2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D9C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customStyle="1" w:styleId="td-post-sub-title">
    <w:name w:val="td-post-sub-title"/>
    <w:basedOn w:val="Normal"/>
    <w:rsid w:val="000B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apple-converted-space">
    <w:name w:val="apple-converted-space"/>
    <w:basedOn w:val="Fuentedeprrafopredeter"/>
    <w:rsid w:val="000B2D9C"/>
  </w:style>
  <w:style w:type="character" w:customStyle="1" w:styleId="td-post-date">
    <w:name w:val="td-post-date"/>
    <w:basedOn w:val="Fuentedeprrafopredeter"/>
    <w:rsid w:val="000B2D9C"/>
  </w:style>
  <w:style w:type="character" w:customStyle="1" w:styleId="td-post-share-title">
    <w:name w:val="td-post-share-title"/>
    <w:basedOn w:val="Fuentedeprrafopredeter"/>
    <w:rsid w:val="000B2D9C"/>
  </w:style>
  <w:style w:type="character" w:styleId="Hipervnculo">
    <w:name w:val="Hyperlink"/>
    <w:basedOn w:val="Fuentedeprrafopredeter"/>
    <w:uiPriority w:val="99"/>
    <w:semiHidden/>
    <w:unhideWhenUsed/>
    <w:rsid w:val="000B2D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nfasis">
    <w:name w:val="Emphasis"/>
    <w:basedOn w:val="Fuentedeprrafopredeter"/>
    <w:uiPriority w:val="20"/>
    <w:qFormat/>
    <w:rsid w:val="000B2D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7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0349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single" w:sz="6" w:space="0" w:color="E6E6E6"/>
                <w:bottom w:val="none" w:sz="0" w:space="0" w:color="E6E6E6"/>
                <w:right w:val="none" w:sz="0" w:space="0" w:color="E6E6E6"/>
              </w:divBdr>
              <w:divsChild>
                <w:div w:id="2172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252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29821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0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0482">
              <w:marLeft w:val="0"/>
              <w:marRight w:val="0"/>
              <w:marTop w:val="0"/>
              <w:marBottom w:val="0"/>
              <w:divBdr>
                <w:top w:val="none" w:sz="0" w:space="0" w:color="E6E6E6"/>
                <w:left w:val="single" w:sz="6" w:space="0" w:color="E6E6E6"/>
                <w:bottom w:val="none" w:sz="0" w:space="0" w:color="E6E6E6"/>
                <w:right w:val="none" w:sz="0" w:space="0" w:color="E6E6E6"/>
              </w:divBdr>
              <w:divsChild>
                <w:div w:id="80107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05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6E6E6"/>
                        <w:left w:val="none" w:sz="0" w:space="15" w:color="E6E6E6"/>
                        <w:bottom w:val="none" w:sz="0" w:space="0" w:color="E6E6E6"/>
                        <w:right w:val="none" w:sz="0" w:space="14" w:color="E6E6E6"/>
                      </w:divBdr>
                      <w:divsChild>
                        <w:div w:id="79561145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6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4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94696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6E6E6"/>
                        <w:left w:val="none" w:sz="0" w:space="15" w:color="E6E6E6"/>
                        <w:bottom w:val="none" w:sz="0" w:space="0" w:color="E6E6E6"/>
                        <w:right w:val="none" w:sz="0" w:space="14" w:color="E6E6E6"/>
                      </w:divBdr>
                      <w:divsChild>
                        <w:div w:id="1463037824">
                          <w:marLeft w:val="0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8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rtaeducacao.com.br/disciplinas/matemati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taeducacao.com.br/entrevistas/em-educacao-mais-e-antes-nao-e-sempre-melhor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artaeducacao.com.br/wp-content/uploads/2016/10/para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Bonilla</dc:creator>
  <cp:keywords/>
  <dc:description/>
  <cp:lastModifiedBy>Gabriela Bonilla</cp:lastModifiedBy>
  <cp:revision>1</cp:revision>
  <dcterms:created xsi:type="dcterms:W3CDTF">2016-11-25T00:45:00Z</dcterms:created>
  <dcterms:modified xsi:type="dcterms:W3CDTF">2016-11-25T00:57:00Z</dcterms:modified>
</cp:coreProperties>
</file>