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05" w:rsidRDefault="00016805" w:rsidP="00016805">
      <w:pPr>
        <w:shd w:val="clear" w:color="auto" w:fill="FFFFFF"/>
        <w:spacing w:after="96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instrText xml:space="preserve"> HYPERLINK "</w:instrText>
      </w:r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instrText>https://www.usaid.gov/education</w:instrTex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instrText xml:space="preserve">" </w:instrTex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fldChar w:fldCharType="separate"/>
      </w:r>
      <w:r w:rsidRPr="00CB7BEE">
        <w:rPr>
          <w:rStyle w:val="Hipervnculo"/>
          <w:rFonts w:ascii="Arial" w:eastAsia="Times New Roman" w:hAnsi="Arial" w:cs="Arial"/>
          <w:b/>
          <w:bCs/>
          <w:sz w:val="32"/>
          <w:szCs w:val="32"/>
          <w:lang w:eastAsia="es-CR"/>
        </w:rPr>
        <w:t>https://www.usaid.gov/education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fldChar w:fldCharType="end"/>
      </w:r>
    </w:p>
    <w:p w:rsidR="00016805" w:rsidRPr="00016805" w:rsidRDefault="00016805" w:rsidP="00016805">
      <w:pPr>
        <w:shd w:val="clear" w:color="auto" w:fill="FFFFFF"/>
        <w:spacing w:after="96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</w:pPr>
      <w:bookmarkStart w:id="0" w:name="_GoBack"/>
      <w:bookmarkEnd w:id="0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 xml:space="preserve">Education </w:t>
      </w:r>
      <w:proofErr w:type="spellStart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>is</w:t>
      </w:r>
      <w:proofErr w:type="spellEnd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 xml:space="preserve"> </w:t>
      </w:r>
      <w:proofErr w:type="spellStart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>Transformational</w:t>
      </w:r>
      <w:proofErr w:type="spellEnd"/>
    </w:p>
    <w:p w:rsidR="00016805" w:rsidRPr="00016805" w:rsidRDefault="00016805" w:rsidP="00016805">
      <w:pPr>
        <w:shd w:val="clear" w:color="auto" w:fill="FFFFFF"/>
        <w:spacing w:after="240" w:line="348" w:lineRule="atLeast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Education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serves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as a driver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for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development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elimination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of extreme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poverty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.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Education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transformational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for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individuals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societies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--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creates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pathways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to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better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health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economic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growth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a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sustainable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environment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peaceful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democratic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societies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. A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person’s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earnings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increase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by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10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percent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with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each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year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of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school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complete.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Women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with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higher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levels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of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education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have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healthier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children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.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increasing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average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level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of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higher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education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in a country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by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just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one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year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can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add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half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percentage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point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of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growth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to GDP.</w:t>
      </w:r>
    </w:p>
    <w:p w:rsidR="00016805" w:rsidRPr="00016805" w:rsidRDefault="00016805" w:rsidP="00016805">
      <w:pPr>
        <w:shd w:val="clear" w:color="auto" w:fill="FFFFFF"/>
        <w:spacing w:after="240" w:line="348" w:lineRule="atLeast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Despite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unprecedented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increases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in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school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enrollment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over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last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decade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there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still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 global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learning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crisis—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worldwide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250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million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children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are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not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acquiring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basic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literacy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numeracy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skills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130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million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of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whom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have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attended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at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least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four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years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of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school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. 121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million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children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are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not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in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school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number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of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out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-of-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school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children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living in crisis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conflict-affected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countries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growing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.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Some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114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million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youth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aged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15 to 24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cannot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read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or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write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 simple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sentence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;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nearly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two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thirds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are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women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.</w:t>
      </w:r>
    </w:p>
    <w:p w:rsidR="00016805" w:rsidRPr="00016805" w:rsidRDefault="00016805" w:rsidP="00016805">
      <w:pPr>
        <w:pBdr>
          <w:top w:val="single" w:sz="36" w:space="8" w:color="DDDDDD"/>
          <w:bottom w:val="single" w:sz="36" w:space="8" w:color="DDDDDD"/>
        </w:pBd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From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2011-2015, USAID has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supported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151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basic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education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programs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in 45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countries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,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directly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benefiting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more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than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41.6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million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children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and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youth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.</w:t>
      </w:r>
    </w:p>
    <w:p w:rsidR="00016805" w:rsidRPr="00016805" w:rsidRDefault="00016805" w:rsidP="00016805">
      <w:pPr>
        <w:shd w:val="clear" w:color="auto" w:fill="EEEEEE"/>
        <w:spacing w:after="0" w:line="348" w:lineRule="atLeast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r w:rsidRPr="00016805">
        <w:rPr>
          <w:rFonts w:ascii="inherit" w:eastAsia="Times New Roman" w:hAnsi="inherit" w:cs="Helvetica"/>
          <w:b/>
          <w:bCs/>
          <w:noProof/>
          <w:color w:val="205493"/>
          <w:sz w:val="21"/>
          <w:szCs w:val="21"/>
          <w:bdr w:val="none" w:sz="0" w:space="0" w:color="auto" w:frame="1"/>
          <w:lang w:eastAsia="es-CR"/>
        </w:rPr>
        <w:drawing>
          <wp:inline distT="0" distB="0" distL="0" distR="0">
            <wp:extent cx="2038350" cy="2714625"/>
            <wp:effectExtent l="0" t="0" r="0" b="9525"/>
            <wp:docPr id="2" name="Imagen 2" descr="Poster - An Educated Girl Has A Ripple Effect. Click to download printable PDF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 - An Educated Girl Has A Ripple Effect. Click to download printable PDF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05" w:rsidRPr="00016805" w:rsidRDefault="00016805" w:rsidP="00016805">
      <w:pPr>
        <w:shd w:val="clear" w:color="auto" w:fill="EEEEEE"/>
        <w:spacing w:after="150" w:line="348" w:lineRule="atLeast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7" w:tgtFrame="_blank" w:history="1"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Poster -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An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Educated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Girl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Has A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Ripple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Effect</w:t>
        </w:r>
        <w:proofErr w:type="spellEnd"/>
      </w:hyperlink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 </w:t>
      </w:r>
      <w:r w:rsidRPr="00016805">
        <w:rPr>
          <w:rFonts w:ascii="inherit" w:eastAsia="Times New Roman" w:hAnsi="inherit" w:cs="Helvetica"/>
          <w:caps/>
          <w:noProof/>
          <w:color w:val="222222"/>
          <w:sz w:val="19"/>
          <w:szCs w:val="19"/>
          <w:bdr w:val="none" w:sz="0" w:space="0" w:color="auto" w:frame="1"/>
          <w:lang w:eastAsia="es-CR"/>
        </w:rPr>
        <w:drawing>
          <wp:inline distT="0" distB="0" distL="0" distR="0">
            <wp:extent cx="152400" cy="152400"/>
            <wp:effectExtent l="0" t="0" r="0" b="0"/>
            <wp:docPr id="1" name="Imagen 1" descr="fil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805">
        <w:rPr>
          <w:rFonts w:ascii="inherit" w:eastAsia="Times New Roman" w:hAnsi="inherit" w:cs="Helvetica"/>
          <w:caps/>
          <w:color w:val="222222"/>
          <w:sz w:val="19"/>
          <w:szCs w:val="19"/>
          <w:bdr w:val="none" w:sz="0" w:space="0" w:color="auto" w:frame="1"/>
          <w:lang w:eastAsia="es-CR"/>
        </w:rPr>
        <w:t>(PDF - 424K)</w:t>
      </w:r>
    </w:p>
    <w:p w:rsidR="00016805" w:rsidRPr="00016805" w:rsidRDefault="00016805" w:rsidP="00016805">
      <w:pPr>
        <w:shd w:val="clear" w:color="auto" w:fill="FFFFFF"/>
        <w:spacing w:after="240" w:line="348" w:lineRule="atLeast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Globally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girls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are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especially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disadvantaged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--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right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now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130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million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girls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are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not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in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school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worldwide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millions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more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face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barriers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to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staying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in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school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.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Yet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know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that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when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girls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are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educated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their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families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are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healthier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have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fewer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children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get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married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later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have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more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opportunities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to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generate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income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.</w:t>
      </w:r>
    </w:p>
    <w:p w:rsidR="00016805" w:rsidRPr="00016805" w:rsidRDefault="00016805" w:rsidP="00016805">
      <w:pPr>
        <w:pBdr>
          <w:top w:val="single" w:sz="36" w:space="8" w:color="DDDDDD"/>
          <w:bottom w:val="single" w:sz="36" w:space="8" w:color="DDDDDD"/>
        </w:pBd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lastRenderedPageBreak/>
        <w:t>Females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make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up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almost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half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of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children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and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youth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who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benefited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from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USAID’s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basic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education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programming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(20.2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million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females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and 21.4 </w:t>
      </w:r>
      <w:proofErr w:type="spellStart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>million</w:t>
      </w:r>
      <w:proofErr w:type="spellEnd"/>
      <w:r w:rsidRPr="00016805">
        <w:rPr>
          <w:rFonts w:ascii="inherit" w:eastAsia="Times New Roman" w:hAnsi="inherit" w:cs="Helvetica"/>
          <w:color w:val="336799"/>
          <w:sz w:val="29"/>
          <w:szCs w:val="29"/>
          <w:lang w:eastAsia="es-CR"/>
        </w:rPr>
        <w:t xml:space="preserve"> males).</w:t>
      </w:r>
    </w:p>
    <w:p w:rsidR="00016805" w:rsidRPr="00016805" w:rsidRDefault="00016805" w:rsidP="00016805">
      <w:pPr>
        <w:shd w:val="clear" w:color="auto" w:fill="FFFFFF"/>
        <w:spacing w:before="300" w:after="96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</w:pPr>
      <w:proofErr w:type="spellStart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>Our</w:t>
      </w:r>
      <w:proofErr w:type="spellEnd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 xml:space="preserve"> </w:t>
      </w:r>
      <w:proofErr w:type="spellStart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>Focus</w:t>
      </w:r>
      <w:proofErr w:type="spellEnd"/>
    </w:p>
    <w:p w:rsidR="00016805" w:rsidRPr="00016805" w:rsidRDefault="00016805" w:rsidP="00016805">
      <w:pPr>
        <w:shd w:val="clear" w:color="auto" w:fill="FFFFFF"/>
        <w:spacing w:after="240" w:line="348" w:lineRule="atLeast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Resolving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global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learning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crisis--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ensuring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all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children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youth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are in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school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learning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--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requires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political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will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at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highest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levels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strong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collaboration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in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countries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where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work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.  USAID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partners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with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other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U.S.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government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agencies,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donors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country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governments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multilateral agencies, civil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society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private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sector to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ensure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equitable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access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to inclusive,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quality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education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for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all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–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especially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most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marginalized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and vulnerable.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do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this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by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working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to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achieve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goals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of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USAID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Education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Strategy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including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:</w:t>
      </w:r>
    </w:p>
    <w:p w:rsidR="00016805" w:rsidRPr="00016805" w:rsidRDefault="00016805" w:rsidP="00016805">
      <w:pPr>
        <w:numPr>
          <w:ilvl w:val="0"/>
          <w:numId w:val="1"/>
        </w:numPr>
        <w:shd w:val="clear" w:color="auto" w:fill="FFFFFF"/>
        <w:spacing w:after="144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Improving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reading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skills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of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students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in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primary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grades to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increase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school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success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completion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;</w:t>
      </w:r>
    </w:p>
    <w:p w:rsidR="00016805" w:rsidRPr="00016805" w:rsidRDefault="00016805" w:rsidP="00016805">
      <w:pPr>
        <w:numPr>
          <w:ilvl w:val="0"/>
          <w:numId w:val="1"/>
        </w:numPr>
        <w:shd w:val="clear" w:color="auto" w:fill="FFFFFF"/>
        <w:spacing w:after="144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Increasing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employment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opportunities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for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youth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strengthening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higher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education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systems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so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youth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can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find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good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jobs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contribute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to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economic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growth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of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their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countries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; and</w:t>
      </w:r>
    </w:p>
    <w:p w:rsidR="00016805" w:rsidRPr="00016805" w:rsidRDefault="00016805" w:rsidP="00016805">
      <w:pPr>
        <w:numPr>
          <w:ilvl w:val="0"/>
          <w:numId w:val="1"/>
        </w:numPr>
        <w:shd w:val="clear" w:color="auto" w:fill="FFFFFF"/>
        <w:spacing w:after="144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Increasing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equitable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access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to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education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in crisis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conflict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environments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.</w:t>
      </w:r>
    </w:p>
    <w:p w:rsidR="00016805" w:rsidRPr="00016805" w:rsidRDefault="00016805" w:rsidP="00016805">
      <w:pPr>
        <w:shd w:val="clear" w:color="auto" w:fill="FFFFFF"/>
        <w:spacing w:after="240" w:line="348" w:lineRule="atLeast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Learning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effectiveness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accountability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transparency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are central to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success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of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our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strategy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. To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most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effectively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reach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our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goals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goals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of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our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host country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partners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USAID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collaborates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with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partners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globally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to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generate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and use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evidence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as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basis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for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continuous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learning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program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improvement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.</w:t>
      </w:r>
    </w:p>
    <w:p w:rsidR="00016805" w:rsidRPr="00016805" w:rsidRDefault="00016805" w:rsidP="00016805">
      <w:pPr>
        <w:shd w:val="clear" w:color="auto" w:fill="FFFFFF"/>
        <w:spacing w:before="300" w:after="96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</w:pPr>
      <w:proofErr w:type="spellStart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>Progress</w:t>
      </w:r>
      <w:proofErr w:type="spellEnd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 xml:space="preserve"> </w:t>
      </w:r>
      <w:proofErr w:type="spellStart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>Under</w:t>
      </w:r>
      <w:proofErr w:type="spellEnd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 xml:space="preserve"> </w:t>
      </w:r>
      <w:proofErr w:type="spellStart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>the</w:t>
      </w:r>
      <w:proofErr w:type="spellEnd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 xml:space="preserve"> 2011-2015 USAID </w:t>
      </w:r>
      <w:proofErr w:type="spellStart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>Education</w:t>
      </w:r>
      <w:proofErr w:type="spellEnd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 xml:space="preserve"> </w:t>
      </w:r>
      <w:proofErr w:type="spellStart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>Strategy</w:t>
      </w:r>
      <w:proofErr w:type="spellEnd"/>
    </w:p>
    <w:p w:rsidR="00016805" w:rsidRPr="00016805" w:rsidRDefault="00016805" w:rsidP="00016805">
      <w:pPr>
        <w:shd w:val="clear" w:color="auto" w:fill="FFFFFF"/>
        <w:spacing w:after="240" w:line="348" w:lineRule="atLeast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USAID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accomplishments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under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current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Education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Strategy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(2011-2015)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take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many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forms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including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providing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clarity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USAID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priorities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in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education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concentrating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investments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at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global and country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level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contributing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to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education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service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delivery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in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our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partner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countries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establishing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critical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partnerships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collaborations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that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have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advanced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goals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of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strategy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.</w:t>
      </w:r>
    </w:p>
    <w:p w:rsidR="00016805" w:rsidRPr="00016805" w:rsidRDefault="00016805" w:rsidP="00016805">
      <w:pPr>
        <w:shd w:val="clear" w:color="auto" w:fill="FFFFFF"/>
        <w:spacing w:after="240" w:line="348" w:lineRule="atLeast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From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2011-2015, USAID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results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include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:</w:t>
      </w:r>
    </w:p>
    <w:p w:rsidR="00016805" w:rsidRPr="00016805" w:rsidRDefault="00016805" w:rsidP="00016805">
      <w:pPr>
        <w:numPr>
          <w:ilvl w:val="0"/>
          <w:numId w:val="2"/>
        </w:numPr>
        <w:shd w:val="clear" w:color="auto" w:fill="FFFFFF"/>
        <w:spacing w:after="144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Improving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reading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instruction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creating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safe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learning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environments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for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more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than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41.6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million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children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youth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(20.2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million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females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and 21.4million males);</w:t>
      </w:r>
    </w:p>
    <w:p w:rsidR="00016805" w:rsidRPr="00016805" w:rsidRDefault="00016805" w:rsidP="00016805">
      <w:pPr>
        <w:numPr>
          <w:ilvl w:val="0"/>
          <w:numId w:val="2"/>
        </w:numPr>
        <w:shd w:val="clear" w:color="auto" w:fill="FFFFFF"/>
        <w:spacing w:after="144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Improved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or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established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quality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education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in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safe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learning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environments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for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 total of 11.8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million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individual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children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youth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in crisis and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conflict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environments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(5.6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million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females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, 6.2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million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males);</w:t>
      </w:r>
    </w:p>
    <w:p w:rsidR="00016805" w:rsidRPr="00016805" w:rsidRDefault="00016805" w:rsidP="00016805">
      <w:pPr>
        <w:numPr>
          <w:ilvl w:val="0"/>
          <w:numId w:val="2"/>
        </w:numPr>
        <w:shd w:val="clear" w:color="auto" w:fill="FFFFFF"/>
        <w:spacing w:after="144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Improving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employment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outcomes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for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609,000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individuals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.</w:t>
      </w:r>
    </w:p>
    <w:p w:rsidR="00016805" w:rsidRPr="00016805" w:rsidRDefault="00016805" w:rsidP="00016805">
      <w:pPr>
        <w:shd w:val="clear" w:color="auto" w:fill="FFFFFF"/>
        <w:spacing w:before="300" w:after="96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</w:pPr>
      <w:proofErr w:type="spellStart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lastRenderedPageBreak/>
        <w:t>Learn</w:t>
      </w:r>
      <w:proofErr w:type="spellEnd"/>
      <w:r w:rsidRPr="00016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  <w:t xml:space="preserve"> More</w:t>
      </w:r>
    </w:p>
    <w:p w:rsidR="00016805" w:rsidRPr="00016805" w:rsidRDefault="00016805" w:rsidP="00016805">
      <w:pPr>
        <w:shd w:val="clear" w:color="auto" w:fill="FFFFFF"/>
        <w:spacing w:after="72" w:line="288" w:lineRule="atLeast"/>
        <w:textAlignment w:val="baseline"/>
        <w:outlineLvl w:val="2"/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Read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 xml:space="preserve"> more </w:t>
      </w: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about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USAID’s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programs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:</w:t>
      </w:r>
    </w:p>
    <w:p w:rsidR="00016805" w:rsidRPr="00016805" w:rsidRDefault="00016805" w:rsidP="00016805">
      <w:pPr>
        <w:numPr>
          <w:ilvl w:val="0"/>
          <w:numId w:val="3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9" w:history="1"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All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Children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Reading</w:t>
        </w:r>
      </w:hyperlink>
    </w:p>
    <w:p w:rsidR="00016805" w:rsidRPr="00016805" w:rsidRDefault="00016805" w:rsidP="00016805">
      <w:pPr>
        <w:numPr>
          <w:ilvl w:val="0"/>
          <w:numId w:val="3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10" w:history="1"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Putting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Education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to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Work</w:t>
        </w:r>
        <w:proofErr w:type="spellEnd"/>
      </w:hyperlink>
    </w:p>
    <w:p w:rsidR="00016805" w:rsidRPr="00016805" w:rsidRDefault="00016805" w:rsidP="00016805">
      <w:pPr>
        <w:numPr>
          <w:ilvl w:val="0"/>
          <w:numId w:val="3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11" w:history="1"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Education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in Crisis and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Conflict</w:t>
        </w:r>
        <w:proofErr w:type="spellEnd"/>
      </w:hyperlink>
    </w:p>
    <w:p w:rsidR="00016805" w:rsidRPr="00016805" w:rsidRDefault="00016805" w:rsidP="00016805">
      <w:pPr>
        <w:numPr>
          <w:ilvl w:val="0"/>
          <w:numId w:val="3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12" w:history="1"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Training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People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for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Maximum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Impact</w:t>
        </w:r>
        <w:proofErr w:type="spellEnd"/>
      </w:hyperlink>
    </w:p>
    <w:p w:rsidR="00016805" w:rsidRPr="00016805" w:rsidRDefault="00016805" w:rsidP="00016805">
      <w:pPr>
        <w:numPr>
          <w:ilvl w:val="0"/>
          <w:numId w:val="3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13" w:history="1"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2015 Global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Education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Summit</w:t>
        </w:r>
      </w:hyperlink>
    </w:p>
    <w:p w:rsidR="00016805" w:rsidRPr="00016805" w:rsidRDefault="00016805" w:rsidP="00016805">
      <w:pPr>
        <w:shd w:val="clear" w:color="auto" w:fill="FFFFFF"/>
        <w:spacing w:before="300" w:after="72" w:line="288" w:lineRule="atLeast"/>
        <w:textAlignment w:val="baseline"/>
        <w:outlineLvl w:val="2"/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See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how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 xml:space="preserve"> USAID </w:t>
      </w: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is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partnering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 xml:space="preserve"> to </w:t>
      </w: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make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 xml:space="preserve"> a </w:t>
      </w: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difference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 xml:space="preserve"> in global </w:t>
      </w: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education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:</w:t>
      </w:r>
    </w:p>
    <w:p w:rsidR="00016805" w:rsidRPr="00016805" w:rsidRDefault="00016805" w:rsidP="00016805">
      <w:pPr>
        <w:numPr>
          <w:ilvl w:val="0"/>
          <w:numId w:val="4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14" w:history="1"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Let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Girls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Learn</w:t>
        </w:r>
        <w:proofErr w:type="spellEnd"/>
      </w:hyperlink>
    </w:p>
    <w:p w:rsidR="00016805" w:rsidRPr="00016805" w:rsidRDefault="00016805" w:rsidP="00016805">
      <w:pPr>
        <w:numPr>
          <w:ilvl w:val="0"/>
          <w:numId w:val="4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15" w:history="1"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All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Children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Reading Grand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Challenge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for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Development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 xml:space="preserve">(link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is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external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)</w:t>
        </w:r>
      </w:hyperlink>
    </w:p>
    <w:p w:rsidR="00016805" w:rsidRPr="00016805" w:rsidRDefault="00016805" w:rsidP="00016805">
      <w:pPr>
        <w:numPr>
          <w:ilvl w:val="0"/>
          <w:numId w:val="4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16" w:history="1"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Education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Cannot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Wait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- a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fund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for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education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in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emergencies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 xml:space="preserve">(link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is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external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)</w:t>
        </w:r>
      </w:hyperlink>
    </w:p>
    <w:p w:rsidR="00016805" w:rsidRPr="00016805" w:rsidRDefault="00016805" w:rsidP="00016805">
      <w:pPr>
        <w:numPr>
          <w:ilvl w:val="0"/>
          <w:numId w:val="4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17" w:history="1"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Global Book Alliance</w:t>
        </w:r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 xml:space="preserve">(link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is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external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)</w:t>
        </w:r>
      </w:hyperlink>
    </w:p>
    <w:p w:rsidR="00016805" w:rsidRPr="00016805" w:rsidRDefault="00016805" w:rsidP="00016805">
      <w:pPr>
        <w:numPr>
          <w:ilvl w:val="0"/>
          <w:numId w:val="4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18" w:history="1"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Mobiles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for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Education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Alliance</w:t>
        </w:r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 xml:space="preserve">(link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is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external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)</w:t>
        </w:r>
      </w:hyperlink>
    </w:p>
    <w:p w:rsidR="00016805" w:rsidRPr="00016805" w:rsidRDefault="00016805" w:rsidP="00016805">
      <w:pPr>
        <w:numPr>
          <w:ilvl w:val="0"/>
          <w:numId w:val="4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19" w:history="1"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Global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Partnership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for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Education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 xml:space="preserve">(link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is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external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)</w:t>
        </w:r>
      </w:hyperlink>
    </w:p>
    <w:p w:rsidR="00016805" w:rsidRPr="00016805" w:rsidRDefault="00016805" w:rsidP="00016805">
      <w:pPr>
        <w:numPr>
          <w:ilvl w:val="0"/>
          <w:numId w:val="4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20" w:history="1"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Education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Commission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on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Financing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 xml:space="preserve">(link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is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external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bdr w:val="none" w:sz="0" w:space="0" w:color="auto" w:frame="1"/>
            <w:lang w:eastAsia="es-CR"/>
          </w:rPr>
          <w:t>)</w:t>
        </w:r>
      </w:hyperlink>
    </w:p>
    <w:p w:rsidR="00016805" w:rsidRPr="00016805" w:rsidRDefault="00016805" w:rsidP="00016805">
      <w:pPr>
        <w:shd w:val="clear" w:color="auto" w:fill="FFFFFF"/>
        <w:spacing w:after="0" w:line="288" w:lineRule="atLeast"/>
        <w:textAlignment w:val="baseline"/>
        <w:outlineLvl w:val="2"/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Read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 </w:t>
      </w: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fldChar w:fldCharType="begin"/>
      </w:r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instrText xml:space="preserve"> HYPERLINK "http://pdf.usaid.gov/pdf_docs/PDACQ946.pdf" </w:instrText>
      </w:r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fldChar w:fldCharType="separate"/>
      </w:r>
      <w:r w:rsidRPr="00016805">
        <w:rPr>
          <w:rFonts w:ascii="inherit" w:eastAsia="Times New Roman" w:hAnsi="inherit" w:cs="Helvetica"/>
          <w:b/>
          <w:bCs/>
          <w:color w:val="205493"/>
          <w:sz w:val="27"/>
          <w:szCs w:val="27"/>
          <w:u w:val="single"/>
          <w:bdr w:val="none" w:sz="0" w:space="0" w:color="auto" w:frame="1"/>
          <w:lang w:eastAsia="es-CR"/>
        </w:rPr>
        <w:t>USAID's</w:t>
      </w:r>
      <w:proofErr w:type="spellEnd"/>
      <w:r w:rsidRPr="00016805">
        <w:rPr>
          <w:rFonts w:ascii="inherit" w:eastAsia="Times New Roman" w:hAnsi="inherit" w:cs="Helvetica"/>
          <w:b/>
          <w:bCs/>
          <w:color w:val="205493"/>
          <w:sz w:val="27"/>
          <w:szCs w:val="27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b/>
          <w:bCs/>
          <w:color w:val="205493"/>
          <w:sz w:val="27"/>
          <w:szCs w:val="27"/>
          <w:u w:val="single"/>
          <w:bdr w:val="none" w:sz="0" w:space="0" w:color="auto" w:frame="1"/>
          <w:lang w:eastAsia="es-CR"/>
        </w:rPr>
        <w:t>Education</w:t>
      </w:r>
      <w:proofErr w:type="spellEnd"/>
      <w:r w:rsidRPr="00016805">
        <w:rPr>
          <w:rFonts w:ascii="inherit" w:eastAsia="Times New Roman" w:hAnsi="inherit" w:cs="Helvetica"/>
          <w:b/>
          <w:bCs/>
          <w:color w:val="205493"/>
          <w:sz w:val="27"/>
          <w:szCs w:val="27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b/>
          <w:bCs/>
          <w:color w:val="205493"/>
          <w:sz w:val="27"/>
          <w:szCs w:val="27"/>
          <w:u w:val="single"/>
          <w:bdr w:val="none" w:sz="0" w:space="0" w:color="auto" w:frame="1"/>
          <w:lang w:eastAsia="es-CR"/>
        </w:rPr>
        <w:t>Strategy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fldChar w:fldCharType="end"/>
      </w:r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 xml:space="preserve"> and </w:t>
      </w: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accompanying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documents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 xml:space="preserve"> to </w:t>
      </w: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learn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 xml:space="preserve"> more:</w:t>
      </w:r>
    </w:p>
    <w:p w:rsidR="00016805" w:rsidRPr="00016805" w:rsidRDefault="00016805" w:rsidP="00016805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21" w:history="1"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Implementation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Guidance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(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Revised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April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2012)</w:t>
        </w:r>
      </w:hyperlink>
    </w:p>
    <w:p w:rsidR="00016805" w:rsidRPr="00016805" w:rsidRDefault="00016805" w:rsidP="00016805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22" w:history="1"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Technical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Notes (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Revised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April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2012)</w:t>
        </w:r>
      </w:hyperlink>
    </w:p>
    <w:p w:rsidR="00016805" w:rsidRPr="00016805" w:rsidRDefault="00016805" w:rsidP="00016805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23" w:history="1"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Reference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Materials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(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Revised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April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2012)</w:t>
        </w:r>
      </w:hyperlink>
    </w:p>
    <w:p w:rsidR="00016805" w:rsidRPr="00016805" w:rsidRDefault="00016805" w:rsidP="00016805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24" w:history="1"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Update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to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Education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Strategy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Reporting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Guidance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(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Issued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August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2014)</w:t>
        </w:r>
      </w:hyperlink>
    </w:p>
    <w:p w:rsidR="00016805" w:rsidRPr="00016805" w:rsidRDefault="00016805" w:rsidP="00016805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25" w:history="1"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USAID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Education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Strategy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(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Spanish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)</w:t>
        </w:r>
      </w:hyperlink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 (PDF, 678KB)</w:t>
      </w:r>
    </w:p>
    <w:p w:rsidR="00016805" w:rsidRPr="00016805" w:rsidRDefault="00016805" w:rsidP="00016805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26" w:history="1"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Key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Takeaways</w:t>
        </w:r>
        <w:proofErr w:type="spellEnd"/>
      </w:hyperlink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 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from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the</w:t>
      </w:r>
      <w:proofErr w:type="spellEnd"/>
      <w:r w:rsidRPr="00016805"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  <w:t> </w:t>
      </w:r>
      <w:hyperlink r:id="rId27" w:history="1"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2015 Global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Education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Summit</w:t>
        </w:r>
      </w:hyperlink>
    </w:p>
    <w:p w:rsidR="00016805" w:rsidRPr="00016805" w:rsidRDefault="00016805" w:rsidP="00016805">
      <w:pPr>
        <w:shd w:val="clear" w:color="auto" w:fill="FFFFFF"/>
        <w:spacing w:after="72" w:line="288" w:lineRule="atLeast"/>
        <w:textAlignment w:val="baseline"/>
        <w:outlineLvl w:val="2"/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</w:pPr>
      <w:proofErr w:type="spellStart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>Related</w:t>
      </w:r>
      <w:proofErr w:type="spellEnd"/>
      <w:r w:rsidRPr="00016805">
        <w:rPr>
          <w:rFonts w:ascii="inherit" w:eastAsia="Times New Roman" w:hAnsi="inherit" w:cs="Helvetica"/>
          <w:b/>
          <w:bCs/>
          <w:color w:val="212721"/>
          <w:sz w:val="27"/>
          <w:szCs w:val="27"/>
          <w:lang w:eastAsia="es-CR"/>
        </w:rPr>
        <w:t xml:space="preserve"> Links</w:t>
      </w:r>
    </w:p>
    <w:p w:rsidR="00016805" w:rsidRPr="00016805" w:rsidRDefault="00016805" w:rsidP="00016805">
      <w:pPr>
        <w:numPr>
          <w:ilvl w:val="0"/>
          <w:numId w:val="6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28" w:tgtFrame="_blank" w:history="1"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Creating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Opportunity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in Nepal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through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Education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for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Income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Generation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Project</w:t>
        </w:r>
      </w:hyperlink>
    </w:p>
    <w:p w:rsidR="00016805" w:rsidRPr="00016805" w:rsidRDefault="00016805" w:rsidP="00016805">
      <w:pPr>
        <w:numPr>
          <w:ilvl w:val="0"/>
          <w:numId w:val="6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29" w:tgtFrame="_blank" w:history="1"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Equipping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Women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Teachers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in South Sudan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with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the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Skills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to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Succeed</w:t>
        </w:r>
        <w:proofErr w:type="spellEnd"/>
      </w:hyperlink>
    </w:p>
    <w:p w:rsidR="00016805" w:rsidRPr="00016805" w:rsidRDefault="00016805" w:rsidP="00016805">
      <w:pPr>
        <w:numPr>
          <w:ilvl w:val="0"/>
          <w:numId w:val="6"/>
        </w:numPr>
        <w:shd w:val="clear" w:color="auto" w:fill="FFFFFF"/>
        <w:spacing w:after="0" w:line="240" w:lineRule="auto"/>
        <w:ind w:left="405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CR"/>
        </w:rPr>
      </w:pPr>
      <w:hyperlink r:id="rId30" w:tgtFrame="_blank" w:history="1"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The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Syrian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Conflict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Through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the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Lens of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Women</w:t>
        </w:r>
        <w:proofErr w:type="spellEnd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 xml:space="preserve"> and </w:t>
        </w:r>
        <w:proofErr w:type="spellStart"/>
        <w:r w:rsidRPr="00016805">
          <w:rPr>
            <w:rFonts w:ascii="inherit" w:eastAsia="Times New Roman" w:hAnsi="inherit" w:cs="Helvetica"/>
            <w:b/>
            <w:bCs/>
            <w:color w:val="205493"/>
            <w:sz w:val="21"/>
            <w:szCs w:val="21"/>
            <w:u w:val="single"/>
            <w:bdr w:val="none" w:sz="0" w:space="0" w:color="auto" w:frame="1"/>
            <w:lang w:eastAsia="es-CR"/>
          </w:rPr>
          <w:t>Girls</w:t>
        </w:r>
        <w:proofErr w:type="spellEnd"/>
      </w:hyperlink>
    </w:p>
    <w:p w:rsidR="00016805" w:rsidRPr="00016805" w:rsidRDefault="00016805" w:rsidP="00016805">
      <w:pPr>
        <w:shd w:val="clear" w:color="auto" w:fill="FFFFFF"/>
        <w:spacing w:before="1440" w:after="0" w:line="348" w:lineRule="atLeast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CR"/>
        </w:rPr>
      </w:pPr>
      <w:proofErr w:type="spellStart"/>
      <w:r w:rsidRPr="00016805">
        <w:rPr>
          <w:rFonts w:ascii="Helvetica" w:eastAsia="Times New Roman" w:hAnsi="Helvetica" w:cs="Helvetica"/>
          <w:color w:val="222222"/>
          <w:sz w:val="21"/>
          <w:szCs w:val="21"/>
          <w:lang w:eastAsia="es-CR"/>
        </w:rPr>
        <w:t>Last</w:t>
      </w:r>
      <w:proofErr w:type="spellEnd"/>
      <w:r w:rsidRPr="00016805">
        <w:rPr>
          <w:rFonts w:ascii="Helvetica" w:eastAsia="Times New Roman" w:hAnsi="Helvetica" w:cs="Helvetica"/>
          <w:color w:val="222222"/>
          <w:sz w:val="21"/>
          <w:szCs w:val="21"/>
          <w:lang w:eastAsia="es-CR"/>
        </w:rPr>
        <w:t xml:space="preserve"> </w:t>
      </w:r>
      <w:proofErr w:type="spellStart"/>
      <w:r w:rsidRPr="00016805">
        <w:rPr>
          <w:rFonts w:ascii="Helvetica" w:eastAsia="Times New Roman" w:hAnsi="Helvetica" w:cs="Helvetica"/>
          <w:color w:val="222222"/>
          <w:sz w:val="21"/>
          <w:szCs w:val="21"/>
          <w:lang w:eastAsia="es-CR"/>
        </w:rPr>
        <w:t>updated</w:t>
      </w:r>
      <w:proofErr w:type="spellEnd"/>
      <w:r w:rsidRPr="00016805">
        <w:rPr>
          <w:rFonts w:ascii="Helvetica" w:eastAsia="Times New Roman" w:hAnsi="Helvetica" w:cs="Helvetica"/>
          <w:color w:val="222222"/>
          <w:sz w:val="21"/>
          <w:szCs w:val="21"/>
          <w:lang w:eastAsia="es-CR"/>
        </w:rPr>
        <w:t xml:space="preserve">: </w:t>
      </w:r>
      <w:proofErr w:type="spellStart"/>
      <w:r w:rsidRPr="00016805">
        <w:rPr>
          <w:rFonts w:ascii="Helvetica" w:eastAsia="Times New Roman" w:hAnsi="Helvetica" w:cs="Helvetica"/>
          <w:color w:val="222222"/>
          <w:sz w:val="21"/>
          <w:szCs w:val="21"/>
          <w:lang w:eastAsia="es-CR"/>
        </w:rPr>
        <w:t>December</w:t>
      </w:r>
      <w:proofErr w:type="spellEnd"/>
      <w:r w:rsidRPr="00016805">
        <w:rPr>
          <w:rFonts w:ascii="Helvetica" w:eastAsia="Times New Roman" w:hAnsi="Helvetica" w:cs="Helvetica"/>
          <w:color w:val="222222"/>
          <w:sz w:val="21"/>
          <w:szCs w:val="21"/>
          <w:lang w:eastAsia="es-CR"/>
        </w:rPr>
        <w:t xml:space="preserve"> 01, 2016</w:t>
      </w:r>
    </w:p>
    <w:p w:rsidR="00815BD5" w:rsidRDefault="00815BD5"/>
    <w:sectPr w:rsidR="00815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68D7"/>
    <w:multiLevelType w:val="multilevel"/>
    <w:tmpl w:val="822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162CC"/>
    <w:multiLevelType w:val="multilevel"/>
    <w:tmpl w:val="1388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C5FFB"/>
    <w:multiLevelType w:val="multilevel"/>
    <w:tmpl w:val="B63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E74D8"/>
    <w:multiLevelType w:val="multilevel"/>
    <w:tmpl w:val="A20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B0E04"/>
    <w:multiLevelType w:val="multilevel"/>
    <w:tmpl w:val="B1A8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D6AC0"/>
    <w:multiLevelType w:val="multilevel"/>
    <w:tmpl w:val="49F2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05"/>
    <w:rsid w:val="00016805"/>
    <w:rsid w:val="008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1169E-C599-4EBA-AC67-47695597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16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Ttulo3">
    <w:name w:val="heading 3"/>
    <w:basedOn w:val="Normal"/>
    <w:link w:val="Ttulo3Car"/>
    <w:uiPriority w:val="9"/>
    <w:qFormat/>
    <w:rsid w:val="00016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16805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016805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01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intro-p">
    <w:name w:val="intro-p"/>
    <w:basedOn w:val="Normal"/>
    <w:rsid w:val="0001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01680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16805"/>
  </w:style>
  <w:style w:type="character" w:customStyle="1" w:styleId="doctype">
    <w:name w:val="doctype"/>
    <w:basedOn w:val="Fuentedeprrafopredeter"/>
    <w:rsid w:val="00016805"/>
  </w:style>
  <w:style w:type="character" w:customStyle="1" w:styleId="element-invisible">
    <w:name w:val="element-invisible"/>
    <w:basedOn w:val="Fuentedeprrafopredeter"/>
    <w:rsid w:val="00016805"/>
  </w:style>
  <w:style w:type="paragraph" w:customStyle="1" w:styleId="last-updated">
    <w:name w:val="last-updated"/>
    <w:basedOn w:val="Normal"/>
    <w:rsid w:val="0001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4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16459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6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8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19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said.gov/education/events/global-education-summit" TargetMode="External"/><Relationship Id="rId18" Type="http://schemas.openxmlformats.org/officeDocument/2006/relationships/hyperlink" Target="http://www.meducationalliance.org/" TargetMode="External"/><Relationship Id="rId26" Type="http://schemas.openxmlformats.org/officeDocument/2006/relationships/hyperlink" Target="https://www.usaid.gov/education/events/global-education-summit/session_primary_grad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df.usaid.gov/pdf_docs/PDACT461.pdf" TargetMode="External"/><Relationship Id="rId7" Type="http://schemas.openxmlformats.org/officeDocument/2006/relationships/hyperlink" Target="https://www.usaid.gov/sites/default/files/documents/1869/usaid_lgl_poster_web-ready.pdf" TargetMode="External"/><Relationship Id="rId12" Type="http://schemas.openxmlformats.org/officeDocument/2006/relationships/hyperlink" Target="https://www.usaid.gov/what-we-do/education/training-people-maximum-impact" TargetMode="External"/><Relationship Id="rId17" Type="http://schemas.openxmlformats.org/officeDocument/2006/relationships/hyperlink" Target="http://globalbookalliance.org/" TargetMode="External"/><Relationship Id="rId25" Type="http://schemas.openxmlformats.org/officeDocument/2006/relationships/hyperlink" Target="https://www.usaid.gov/documents/2151/usaid-education-strategy-spanis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tioncannotwait.org/" TargetMode="External"/><Relationship Id="rId20" Type="http://schemas.openxmlformats.org/officeDocument/2006/relationships/hyperlink" Target="http://educationcommission.org/about/" TargetMode="External"/><Relationship Id="rId29" Type="http://schemas.openxmlformats.org/officeDocument/2006/relationships/hyperlink" Target="http://blog.usaid.gov/2013/07/equipping-women-teachers-in-south-suda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usaid.gov/what-we-do/education/crisis-conflict" TargetMode="External"/><Relationship Id="rId24" Type="http://schemas.openxmlformats.org/officeDocument/2006/relationships/hyperlink" Target="https://dec.usaid.gov/dec/GetDoc.axd?ctID=ODVhZjk4NWQtM2YyMi00YjRmLTkxNjktZTcxMjM2NDBmY2Uy&amp;pID=NTYw&amp;attchmnt=VHJ1ZQ==&amp;rID=MzY3OTI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usaid.gov/sites/default/files/documents/1869/usaid_lgl_poster_web-ready.pdf" TargetMode="External"/><Relationship Id="rId15" Type="http://schemas.openxmlformats.org/officeDocument/2006/relationships/hyperlink" Target="http://allchildrenreading.org/" TargetMode="External"/><Relationship Id="rId23" Type="http://schemas.openxmlformats.org/officeDocument/2006/relationships/hyperlink" Target="http://pdf.usaid.gov/pdf_docs/PDACT680.pdf" TargetMode="External"/><Relationship Id="rId28" Type="http://schemas.openxmlformats.org/officeDocument/2006/relationships/hyperlink" Target="http://blog.usaid.gov/2013/07/creating-opportunity-in-nepal-through-education/" TargetMode="External"/><Relationship Id="rId10" Type="http://schemas.openxmlformats.org/officeDocument/2006/relationships/hyperlink" Target="https://www.usaid.gov/what-we-do/education/putting-education-to-work" TargetMode="External"/><Relationship Id="rId19" Type="http://schemas.openxmlformats.org/officeDocument/2006/relationships/hyperlink" Target="http://www.globalpartnership.or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aid.gov/what-we-do/education/all-children-reading" TargetMode="External"/><Relationship Id="rId14" Type="http://schemas.openxmlformats.org/officeDocument/2006/relationships/hyperlink" Target="https://letgirlslearn.gov/" TargetMode="External"/><Relationship Id="rId22" Type="http://schemas.openxmlformats.org/officeDocument/2006/relationships/hyperlink" Target="http://pdf.usaid.gov/pdf_docs/PDACT681.pdf" TargetMode="External"/><Relationship Id="rId27" Type="http://schemas.openxmlformats.org/officeDocument/2006/relationships/hyperlink" Target="https://www.usaid.gov/education/events/global-education-summit" TargetMode="External"/><Relationship Id="rId30" Type="http://schemas.openxmlformats.org/officeDocument/2006/relationships/hyperlink" Target="http://blog.usaid.gov/2014/04/the-syrian-conflict-through-the-lens-of-women-and-girl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Bonilla</dc:creator>
  <cp:keywords/>
  <dc:description/>
  <cp:lastModifiedBy>Gabriela Bonilla</cp:lastModifiedBy>
  <cp:revision>1</cp:revision>
  <dcterms:created xsi:type="dcterms:W3CDTF">2016-12-10T21:37:00Z</dcterms:created>
  <dcterms:modified xsi:type="dcterms:W3CDTF">2016-12-10T21:38:00Z</dcterms:modified>
</cp:coreProperties>
</file>